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CEDAE" w14:textId="1FADA5D4" w:rsidR="00231434" w:rsidRPr="00E16905" w:rsidRDefault="00231434" w:rsidP="00231434">
      <w:pPr>
        <w:rPr>
          <w:rFonts w:ascii="Times New Roman" w:hAnsi="Times New Roman" w:cs="Times New Roman"/>
          <w:b/>
          <w:bCs/>
          <w:sz w:val="24"/>
          <w:szCs w:val="24"/>
        </w:rPr>
      </w:pPr>
      <w:r w:rsidRPr="00E16905">
        <w:rPr>
          <w:rFonts w:ascii="Times New Roman" w:hAnsi="Times New Roman" w:cs="Times New Roman"/>
          <w:b/>
          <w:bCs/>
          <w:sz w:val="24"/>
          <w:szCs w:val="24"/>
        </w:rPr>
        <w:t>OJSC “</w:t>
      </w:r>
      <w:proofErr w:type="spellStart"/>
      <w:r w:rsidRPr="00E16905">
        <w:rPr>
          <w:rFonts w:ascii="Times New Roman" w:hAnsi="Times New Roman" w:cs="Times New Roman"/>
          <w:b/>
          <w:bCs/>
          <w:sz w:val="24"/>
          <w:szCs w:val="24"/>
        </w:rPr>
        <w:t>Aiyl</w:t>
      </w:r>
      <w:proofErr w:type="spellEnd"/>
      <w:r w:rsidRPr="00E16905">
        <w:rPr>
          <w:rFonts w:ascii="Times New Roman" w:hAnsi="Times New Roman" w:cs="Times New Roman"/>
          <w:b/>
          <w:bCs/>
          <w:sz w:val="24"/>
          <w:szCs w:val="24"/>
        </w:rPr>
        <w:t xml:space="preserve"> Bank”</w:t>
      </w:r>
    </w:p>
    <w:p w14:paraId="79A729CA" w14:textId="77777777" w:rsidR="00231434" w:rsidRPr="00E16905" w:rsidRDefault="00231434" w:rsidP="00231434">
      <w:pPr>
        <w:rPr>
          <w:rFonts w:ascii="Times New Roman" w:hAnsi="Times New Roman" w:cs="Times New Roman"/>
          <w:b/>
          <w:bCs/>
          <w:sz w:val="24"/>
          <w:szCs w:val="24"/>
        </w:rPr>
      </w:pPr>
      <w:r w:rsidRPr="00E16905">
        <w:rPr>
          <w:rFonts w:ascii="Times New Roman" w:hAnsi="Times New Roman" w:cs="Times New Roman"/>
          <w:b/>
          <w:bCs/>
          <w:sz w:val="24"/>
          <w:szCs w:val="24"/>
        </w:rPr>
        <w:t>Policy on Working with Problem Borrowers</w:t>
      </w:r>
    </w:p>
    <w:p w14:paraId="3F4C83FC" w14:textId="77777777" w:rsidR="00B426CB" w:rsidRDefault="00B426CB" w:rsidP="00231434">
      <w:pPr>
        <w:rPr>
          <w:rFonts w:ascii="Times New Roman" w:hAnsi="Times New Roman" w:cs="Times New Roman"/>
          <w:sz w:val="24"/>
          <w:szCs w:val="24"/>
        </w:rPr>
      </w:pPr>
    </w:p>
    <w:tbl>
      <w:tblPr>
        <w:tblW w:w="1063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53"/>
        <w:gridCol w:w="6379"/>
      </w:tblGrid>
      <w:tr w:rsidR="00440A8D" w:rsidRPr="005834C5" w14:paraId="33BB998E" w14:textId="77777777" w:rsidTr="008C782E">
        <w:tblPrEx>
          <w:tblCellMar>
            <w:top w:w="0" w:type="dxa"/>
            <w:bottom w:w="0" w:type="dxa"/>
          </w:tblCellMar>
        </w:tblPrEx>
        <w:trPr>
          <w:trHeight w:val="1430"/>
        </w:trPr>
        <w:tc>
          <w:tcPr>
            <w:tcW w:w="4253" w:type="dxa"/>
          </w:tcPr>
          <w:p w14:paraId="2711318F" w14:textId="77777777" w:rsidR="00CD7617" w:rsidRPr="00E16905" w:rsidRDefault="00CD7617" w:rsidP="00CD7617">
            <w:pPr>
              <w:rPr>
                <w:rFonts w:ascii="Times New Roman" w:hAnsi="Times New Roman" w:cs="Times New Roman"/>
                <w:b/>
                <w:bCs/>
                <w:sz w:val="24"/>
                <w:szCs w:val="24"/>
              </w:rPr>
            </w:pPr>
            <w:r w:rsidRPr="00E16905">
              <w:rPr>
                <w:rFonts w:ascii="Times New Roman" w:hAnsi="Times New Roman" w:cs="Times New Roman"/>
                <w:b/>
                <w:bCs/>
                <w:sz w:val="24"/>
                <w:szCs w:val="24"/>
              </w:rPr>
              <w:t>APPROVED</w:t>
            </w:r>
          </w:p>
          <w:p w14:paraId="59A6F9E3" w14:textId="77777777" w:rsidR="00CD7617" w:rsidRPr="00627CCF" w:rsidRDefault="00CD7617" w:rsidP="00CD7617">
            <w:pPr>
              <w:rPr>
                <w:rFonts w:ascii="Times New Roman" w:hAnsi="Times New Roman" w:cs="Times New Roman"/>
                <w:sz w:val="24"/>
                <w:szCs w:val="24"/>
              </w:rPr>
            </w:pPr>
            <w:r w:rsidRPr="00627CCF">
              <w:rPr>
                <w:rFonts w:ascii="Times New Roman" w:hAnsi="Times New Roman" w:cs="Times New Roman"/>
                <w:sz w:val="24"/>
                <w:szCs w:val="24"/>
              </w:rPr>
              <w:t>by the Resolution of the Board of Directors</w:t>
            </w:r>
          </w:p>
          <w:p w14:paraId="75CD697B" w14:textId="77777777" w:rsidR="00CD7617" w:rsidRPr="00627CCF" w:rsidRDefault="00CD7617" w:rsidP="00CD7617">
            <w:pPr>
              <w:rPr>
                <w:rFonts w:ascii="Times New Roman" w:hAnsi="Times New Roman" w:cs="Times New Roman"/>
                <w:sz w:val="24"/>
                <w:szCs w:val="24"/>
              </w:rPr>
            </w:pPr>
            <w:r w:rsidRPr="00627CCF">
              <w:rPr>
                <w:rFonts w:ascii="Times New Roman" w:hAnsi="Times New Roman" w:cs="Times New Roman"/>
                <w:sz w:val="24"/>
                <w:szCs w:val="24"/>
              </w:rPr>
              <w:t>of OJSC “</w:t>
            </w:r>
            <w:proofErr w:type="spellStart"/>
            <w:r w:rsidRPr="00627CCF">
              <w:rPr>
                <w:rFonts w:ascii="Times New Roman" w:hAnsi="Times New Roman" w:cs="Times New Roman"/>
                <w:sz w:val="24"/>
                <w:szCs w:val="24"/>
              </w:rPr>
              <w:t>Aiyl</w:t>
            </w:r>
            <w:proofErr w:type="spellEnd"/>
            <w:r w:rsidRPr="00627CCF">
              <w:rPr>
                <w:rFonts w:ascii="Times New Roman" w:hAnsi="Times New Roman" w:cs="Times New Roman"/>
                <w:sz w:val="24"/>
                <w:szCs w:val="24"/>
              </w:rPr>
              <w:t xml:space="preserve"> Bank”</w:t>
            </w:r>
          </w:p>
          <w:p w14:paraId="645482BA" w14:textId="77777777" w:rsidR="00CD7617" w:rsidRPr="00627CCF" w:rsidRDefault="00CD7617" w:rsidP="00CD7617">
            <w:pPr>
              <w:rPr>
                <w:rFonts w:ascii="Times New Roman" w:hAnsi="Times New Roman" w:cs="Times New Roman"/>
                <w:sz w:val="24"/>
                <w:szCs w:val="24"/>
              </w:rPr>
            </w:pPr>
            <w:r w:rsidRPr="00627CCF">
              <w:rPr>
                <w:rFonts w:ascii="Times New Roman" w:hAnsi="Times New Roman" w:cs="Times New Roman"/>
                <w:sz w:val="24"/>
                <w:szCs w:val="24"/>
              </w:rPr>
              <w:t>dated September 7, 2012, No. 20/4</w:t>
            </w:r>
          </w:p>
          <w:p w14:paraId="34B09F38" w14:textId="77777777" w:rsidR="00B426CB" w:rsidRPr="005834C5" w:rsidRDefault="00B426CB" w:rsidP="00CD7617">
            <w:pPr>
              <w:widowControl w:val="0"/>
              <w:tabs>
                <w:tab w:val="left" w:pos="0"/>
                <w:tab w:val="center" w:pos="4677"/>
                <w:tab w:val="right" w:pos="9355"/>
              </w:tabs>
              <w:autoSpaceDE w:val="0"/>
              <w:autoSpaceDN w:val="0"/>
              <w:adjustRightInd w:val="0"/>
              <w:jc w:val="center"/>
              <w:rPr>
                <w:sz w:val="24"/>
                <w:szCs w:val="24"/>
              </w:rPr>
            </w:pPr>
          </w:p>
        </w:tc>
        <w:tc>
          <w:tcPr>
            <w:tcW w:w="6379" w:type="dxa"/>
          </w:tcPr>
          <w:p w14:paraId="7A75E7B4" w14:textId="77777777" w:rsidR="00CD7617" w:rsidRPr="00E16905" w:rsidRDefault="00CD7617" w:rsidP="00CD7617">
            <w:pPr>
              <w:rPr>
                <w:rFonts w:ascii="Times New Roman" w:hAnsi="Times New Roman" w:cs="Times New Roman"/>
                <w:b/>
                <w:bCs/>
                <w:sz w:val="24"/>
                <w:szCs w:val="24"/>
              </w:rPr>
            </w:pPr>
            <w:r w:rsidRPr="00E16905">
              <w:rPr>
                <w:rFonts w:ascii="Times New Roman" w:hAnsi="Times New Roman" w:cs="Times New Roman"/>
                <w:b/>
                <w:bCs/>
                <w:sz w:val="24"/>
                <w:szCs w:val="24"/>
              </w:rPr>
              <w:t>ENDORSED</w:t>
            </w:r>
          </w:p>
          <w:p w14:paraId="1846DD8D" w14:textId="77777777" w:rsidR="00CD7617" w:rsidRPr="00231434" w:rsidRDefault="00CD7617" w:rsidP="00CD7617">
            <w:pPr>
              <w:rPr>
                <w:rFonts w:ascii="Times New Roman" w:hAnsi="Times New Roman" w:cs="Times New Roman"/>
                <w:sz w:val="24"/>
                <w:szCs w:val="24"/>
              </w:rPr>
            </w:pPr>
            <w:r w:rsidRPr="00231434">
              <w:rPr>
                <w:rFonts w:ascii="Times New Roman" w:hAnsi="Times New Roman" w:cs="Times New Roman"/>
                <w:sz w:val="24"/>
                <w:szCs w:val="24"/>
              </w:rPr>
              <w:t>by the Resolution of the Management Board</w:t>
            </w:r>
          </w:p>
          <w:p w14:paraId="71AE391F" w14:textId="77777777" w:rsidR="00CD7617" w:rsidRPr="00231434" w:rsidRDefault="00CD7617" w:rsidP="00CD7617">
            <w:pPr>
              <w:rPr>
                <w:rFonts w:ascii="Times New Roman" w:hAnsi="Times New Roman" w:cs="Times New Roman"/>
                <w:sz w:val="24"/>
                <w:szCs w:val="24"/>
              </w:rPr>
            </w:pPr>
            <w:r w:rsidRPr="00231434">
              <w:rPr>
                <w:rFonts w:ascii="Times New Roman" w:hAnsi="Times New Roman" w:cs="Times New Roman"/>
                <w:sz w:val="24"/>
                <w:szCs w:val="24"/>
              </w:rPr>
              <w:t>of OJSC “</w:t>
            </w:r>
            <w:proofErr w:type="spellStart"/>
            <w:r w:rsidRPr="00231434">
              <w:rPr>
                <w:rFonts w:ascii="Times New Roman" w:hAnsi="Times New Roman" w:cs="Times New Roman"/>
                <w:sz w:val="24"/>
                <w:szCs w:val="24"/>
              </w:rPr>
              <w:t>Aiyl</w:t>
            </w:r>
            <w:proofErr w:type="spellEnd"/>
            <w:r w:rsidRPr="00231434">
              <w:rPr>
                <w:rFonts w:ascii="Times New Roman" w:hAnsi="Times New Roman" w:cs="Times New Roman"/>
                <w:sz w:val="24"/>
                <w:szCs w:val="24"/>
              </w:rPr>
              <w:t xml:space="preserve"> Bank”</w:t>
            </w:r>
          </w:p>
          <w:p w14:paraId="43D23E5E" w14:textId="77777777" w:rsidR="00CD7617" w:rsidRDefault="00CD7617" w:rsidP="00CD7617">
            <w:pPr>
              <w:rPr>
                <w:rFonts w:ascii="Times New Roman" w:hAnsi="Times New Roman" w:cs="Times New Roman"/>
                <w:sz w:val="24"/>
                <w:szCs w:val="24"/>
              </w:rPr>
            </w:pPr>
            <w:r w:rsidRPr="00231434">
              <w:rPr>
                <w:rFonts w:ascii="Times New Roman" w:hAnsi="Times New Roman" w:cs="Times New Roman"/>
                <w:sz w:val="24"/>
                <w:szCs w:val="24"/>
              </w:rPr>
              <w:t>dated July 30, 2012, No. 27/17</w:t>
            </w:r>
          </w:p>
          <w:p w14:paraId="417B56BE" w14:textId="77777777" w:rsidR="00B426CB" w:rsidRPr="005834C5" w:rsidRDefault="00B426CB" w:rsidP="00CD7617">
            <w:pPr>
              <w:widowControl w:val="0"/>
              <w:tabs>
                <w:tab w:val="left" w:pos="0"/>
                <w:tab w:val="center" w:pos="4677"/>
                <w:tab w:val="right" w:pos="9355"/>
              </w:tabs>
              <w:autoSpaceDE w:val="0"/>
              <w:autoSpaceDN w:val="0"/>
              <w:adjustRightInd w:val="0"/>
              <w:jc w:val="center"/>
              <w:rPr>
                <w:sz w:val="24"/>
                <w:szCs w:val="24"/>
              </w:rPr>
            </w:pPr>
          </w:p>
        </w:tc>
      </w:tr>
      <w:tr w:rsidR="008C782E" w:rsidRPr="00CD7617" w14:paraId="632877F5" w14:textId="77777777" w:rsidTr="008C782E">
        <w:tblPrEx>
          <w:tblCellMar>
            <w:top w:w="0" w:type="dxa"/>
            <w:bottom w:w="0" w:type="dxa"/>
          </w:tblCellMar>
        </w:tblPrEx>
        <w:trPr>
          <w:trHeight w:val="1712"/>
        </w:trPr>
        <w:tc>
          <w:tcPr>
            <w:tcW w:w="4253" w:type="dxa"/>
          </w:tcPr>
          <w:p w14:paraId="3EFEB0F5" w14:textId="77777777" w:rsidR="00B426CB" w:rsidRPr="005834C5" w:rsidRDefault="00B426CB" w:rsidP="0032765B">
            <w:pPr>
              <w:widowControl w:val="0"/>
              <w:tabs>
                <w:tab w:val="left" w:pos="0"/>
              </w:tabs>
              <w:autoSpaceDE w:val="0"/>
              <w:autoSpaceDN w:val="0"/>
              <w:adjustRightInd w:val="0"/>
              <w:jc w:val="center"/>
              <w:rPr>
                <w:sz w:val="24"/>
                <w:szCs w:val="24"/>
              </w:rPr>
            </w:pPr>
          </w:p>
          <w:p w14:paraId="4BD76EB6" w14:textId="646FFA53" w:rsidR="00B426CB" w:rsidRPr="005834C5" w:rsidRDefault="00B426CB" w:rsidP="0032765B">
            <w:pPr>
              <w:widowControl w:val="0"/>
              <w:tabs>
                <w:tab w:val="left" w:pos="0"/>
              </w:tabs>
              <w:autoSpaceDE w:val="0"/>
              <w:autoSpaceDN w:val="0"/>
              <w:adjustRightInd w:val="0"/>
              <w:jc w:val="center"/>
              <w:rPr>
                <w:b/>
                <w:bCs/>
                <w:sz w:val="24"/>
                <w:szCs w:val="24"/>
              </w:rPr>
            </w:pPr>
            <w:r w:rsidRPr="005834C5">
              <w:rPr>
                <w:noProof/>
                <w:sz w:val="24"/>
                <w:szCs w:val="24"/>
              </w:rPr>
              <w:drawing>
                <wp:inline distT="0" distB="0" distL="0" distR="0" wp14:anchorId="25C0BF8E" wp14:editId="15687C29">
                  <wp:extent cx="1099820" cy="597535"/>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9820" cy="597535"/>
                          </a:xfrm>
                          <a:prstGeom prst="rect">
                            <a:avLst/>
                          </a:prstGeom>
                          <a:noFill/>
                          <a:ln>
                            <a:noFill/>
                          </a:ln>
                        </pic:spPr>
                      </pic:pic>
                    </a:graphicData>
                  </a:graphic>
                </wp:inline>
              </w:drawing>
            </w:r>
          </w:p>
        </w:tc>
        <w:tc>
          <w:tcPr>
            <w:tcW w:w="6379" w:type="dxa"/>
          </w:tcPr>
          <w:p w14:paraId="22BF0F71" w14:textId="77777777" w:rsidR="00B426CB" w:rsidRPr="005834C5" w:rsidRDefault="00B426CB" w:rsidP="0032765B">
            <w:pPr>
              <w:widowControl w:val="0"/>
              <w:tabs>
                <w:tab w:val="left" w:pos="0"/>
              </w:tabs>
              <w:autoSpaceDE w:val="0"/>
              <w:autoSpaceDN w:val="0"/>
              <w:adjustRightInd w:val="0"/>
              <w:rPr>
                <w:b/>
                <w:bCs/>
                <w:sz w:val="24"/>
                <w:szCs w:val="24"/>
              </w:rPr>
            </w:pPr>
          </w:p>
          <w:p w14:paraId="3DA5982E" w14:textId="77777777" w:rsidR="00CD7617" w:rsidRPr="00E16905" w:rsidRDefault="00CD7617" w:rsidP="00CD7617">
            <w:pPr>
              <w:rPr>
                <w:rFonts w:ascii="Times New Roman" w:hAnsi="Times New Roman" w:cs="Times New Roman"/>
                <w:b/>
                <w:bCs/>
                <w:sz w:val="24"/>
                <w:szCs w:val="24"/>
              </w:rPr>
            </w:pPr>
            <w:r w:rsidRPr="00E16905">
              <w:rPr>
                <w:rFonts w:ascii="Times New Roman" w:hAnsi="Times New Roman" w:cs="Times New Roman"/>
                <w:b/>
                <w:bCs/>
                <w:sz w:val="24"/>
                <w:szCs w:val="24"/>
              </w:rPr>
              <w:t>OPEN JOINT-STOCK COMPANY “AIYL BANK”</w:t>
            </w:r>
          </w:p>
          <w:p w14:paraId="14CBF7AE" w14:textId="77777777" w:rsidR="00CD7617" w:rsidRPr="00B426CB" w:rsidRDefault="00CD7617" w:rsidP="00CD7617">
            <w:pPr>
              <w:rPr>
                <w:rFonts w:ascii="Times New Roman" w:hAnsi="Times New Roman" w:cs="Times New Roman"/>
                <w:b/>
                <w:bCs/>
                <w:sz w:val="24"/>
                <w:szCs w:val="24"/>
                <w:lang w:val="ru-RU"/>
              </w:rPr>
            </w:pPr>
            <w:r w:rsidRPr="00B426CB">
              <w:rPr>
                <w:rFonts w:ascii="Times New Roman" w:hAnsi="Times New Roman" w:cs="Times New Roman"/>
                <w:b/>
                <w:bCs/>
                <w:sz w:val="24"/>
                <w:szCs w:val="24"/>
                <w:lang w:val="ru-RU"/>
              </w:rPr>
              <w:t>ОТКРЫТОЕ АКЦИОНЕРНОЕ ОБЩЕСТВО «АЙЫЛ БАНК»</w:t>
            </w:r>
          </w:p>
          <w:p w14:paraId="16C014EE" w14:textId="6B7A561C" w:rsidR="00CD7617" w:rsidRPr="00CD7617" w:rsidRDefault="00CD7617" w:rsidP="00CD7617">
            <w:pPr>
              <w:rPr>
                <w:rFonts w:ascii="Times New Roman" w:hAnsi="Times New Roman" w:cs="Times New Roman"/>
                <w:b/>
                <w:bCs/>
                <w:sz w:val="24"/>
                <w:szCs w:val="24"/>
                <w:lang w:val="en-US"/>
              </w:rPr>
            </w:pPr>
            <w:r w:rsidRPr="00B426CB">
              <w:rPr>
                <w:rFonts w:ascii="Times New Roman" w:hAnsi="Times New Roman" w:cs="Times New Roman"/>
                <w:b/>
                <w:bCs/>
                <w:sz w:val="24"/>
                <w:szCs w:val="24"/>
                <w:lang w:val="ru-RU"/>
              </w:rPr>
              <w:t>АЧЫК АКЦИОНЕРДИК КООМУ «АЙЫЛ БАНК»</w:t>
            </w:r>
          </w:p>
          <w:p w14:paraId="430FCFBF" w14:textId="74C9057C" w:rsidR="00B426CB" w:rsidRPr="00CD7617" w:rsidRDefault="00B426CB" w:rsidP="0032765B">
            <w:pPr>
              <w:widowControl w:val="0"/>
              <w:tabs>
                <w:tab w:val="left" w:pos="0"/>
              </w:tabs>
              <w:autoSpaceDE w:val="0"/>
              <w:autoSpaceDN w:val="0"/>
              <w:adjustRightInd w:val="0"/>
              <w:rPr>
                <w:b/>
                <w:bCs/>
                <w:smallCaps/>
                <w:sz w:val="24"/>
                <w:szCs w:val="24"/>
                <w:lang w:val="ru-RU"/>
              </w:rPr>
            </w:pPr>
          </w:p>
          <w:p w14:paraId="50A19D9D" w14:textId="77777777" w:rsidR="00B426CB" w:rsidRPr="00CD7617" w:rsidRDefault="00B426CB" w:rsidP="0032765B">
            <w:pPr>
              <w:widowControl w:val="0"/>
              <w:tabs>
                <w:tab w:val="left" w:pos="0"/>
                <w:tab w:val="center" w:pos="4677"/>
                <w:tab w:val="right" w:pos="9355"/>
              </w:tabs>
              <w:autoSpaceDE w:val="0"/>
              <w:autoSpaceDN w:val="0"/>
              <w:adjustRightInd w:val="0"/>
              <w:rPr>
                <w:sz w:val="24"/>
                <w:szCs w:val="24"/>
                <w:lang w:val="ru-RU"/>
              </w:rPr>
            </w:pPr>
          </w:p>
        </w:tc>
      </w:tr>
    </w:tbl>
    <w:p w14:paraId="24F84560" w14:textId="77777777" w:rsidR="00231434" w:rsidRPr="00786EFE" w:rsidRDefault="00231434" w:rsidP="00231434">
      <w:pPr>
        <w:rPr>
          <w:rFonts w:ascii="Times New Roman" w:hAnsi="Times New Roman" w:cs="Times New Roman"/>
          <w:sz w:val="24"/>
          <w:szCs w:val="24"/>
          <w:lang w:val="en-US"/>
        </w:rPr>
      </w:pPr>
    </w:p>
    <w:p w14:paraId="0BA241E0" w14:textId="77777777" w:rsidR="00231434" w:rsidRPr="00B426CB" w:rsidRDefault="00231434" w:rsidP="00231434">
      <w:pPr>
        <w:rPr>
          <w:rFonts w:ascii="Times New Roman" w:hAnsi="Times New Roman" w:cs="Times New Roman"/>
          <w:sz w:val="24"/>
          <w:szCs w:val="24"/>
          <w:lang w:val="ru-RU"/>
        </w:rPr>
      </w:pPr>
    </w:p>
    <w:p w14:paraId="6AC5D782" w14:textId="77777777" w:rsidR="00231434" w:rsidRPr="00231434" w:rsidRDefault="00231434" w:rsidP="00231434">
      <w:pPr>
        <w:rPr>
          <w:rFonts w:ascii="Times New Roman" w:hAnsi="Times New Roman" w:cs="Times New Roman"/>
          <w:b/>
          <w:bCs/>
          <w:sz w:val="24"/>
          <w:szCs w:val="24"/>
        </w:rPr>
      </w:pPr>
      <w:r w:rsidRPr="00231434">
        <w:rPr>
          <w:rFonts w:ascii="Times New Roman" w:hAnsi="Times New Roman" w:cs="Times New Roman"/>
          <w:b/>
          <w:bCs/>
          <w:sz w:val="24"/>
          <w:szCs w:val="24"/>
        </w:rPr>
        <w:t>POLICY</w:t>
      </w:r>
    </w:p>
    <w:p w14:paraId="42E98BB7" w14:textId="77777777" w:rsidR="00231434" w:rsidRPr="00231434" w:rsidRDefault="00231434" w:rsidP="00231434">
      <w:pPr>
        <w:rPr>
          <w:rFonts w:ascii="Times New Roman" w:hAnsi="Times New Roman" w:cs="Times New Roman"/>
          <w:b/>
          <w:bCs/>
          <w:sz w:val="24"/>
          <w:szCs w:val="24"/>
        </w:rPr>
      </w:pPr>
      <w:r w:rsidRPr="00231434">
        <w:rPr>
          <w:rFonts w:ascii="Times New Roman" w:hAnsi="Times New Roman" w:cs="Times New Roman"/>
          <w:b/>
          <w:bCs/>
          <w:sz w:val="24"/>
          <w:szCs w:val="24"/>
        </w:rPr>
        <w:t>ON WORKING WITH PROBLEM BORROWERS/CLIENTS OF OJSC “AIYL BANK”</w:t>
      </w:r>
    </w:p>
    <w:p w14:paraId="14A1BE21"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(As amended by the Resolutions of the Board of Directors of OJSC “Aiyl Bank”</w:t>
      </w:r>
    </w:p>
    <w:p w14:paraId="1C07B8E1"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dated July 3, 2014, No. 11/5; December 5, 2014, No. 26/9;</w:t>
      </w:r>
    </w:p>
    <w:p w14:paraId="6F4C4EC0"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November 18, 2015, No. 36/4; December 4, 2015, No. 38/3;</w:t>
      </w:r>
    </w:p>
    <w:p w14:paraId="5D7612BC"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December 16, 2016, No. 39/1; September 13, 2017, No. 34/14;</w:t>
      </w:r>
    </w:p>
    <w:p w14:paraId="15B9A139"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September 28, 2018, No. 40/3; September 27, 2019, No. 51/2;</w:t>
      </w:r>
    </w:p>
    <w:p w14:paraId="0D6AC2E7"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December 24, 2019, No. 69/6; December 4, 2020, No. 68/4;</w:t>
      </w:r>
    </w:p>
    <w:p w14:paraId="53C3DE6D" w14:textId="77777777" w:rsidR="00231434" w:rsidRPr="00231434"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July 2, 2021, No. 34/13; July 5, 2022, No. 36/4;</w:t>
      </w:r>
    </w:p>
    <w:p w14:paraId="1C38D284" w14:textId="77777777" w:rsidR="00CA0965" w:rsidRDefault="00231434" w:rsidP="00231434">
      <w:pPr>
        <w:rPr>
          <w:rFonts w:ascii="Times New Roman" w:hAnsi="Times New Roman" w:cs="Times New Roman"/>
          <w:sz w:val="24"/>
          <w:szCs w:val="24"/>
        </w:rPr>
      </w:pPr>
      <w:r w:rsidRPr="00231434">
        <w:rPr>
          <w:rFonts w:ascii="Times New Roman" w:hAnsi="Times New Roman" w:cs="Times New Roman"/>
          <w:sz w:val="24"/>
          <w:szCs w:val="24"/>
        </w:rPr>
        <w:t>December 28, 2022, No. 63/3; January 11, 2024, No. 2/6)</w:t>
      </w:r>
    </w:p>
    <w:p w14:paraId="4AF0E067" w14:textId="77777777" w:rsidR="005C06A7" w:rsidRDefault="005C06A7" w:rsidP="00231434">
      <w:pPr>
        <w:rPr>
          <w:rFonts w:ascii="Times New Roman" w:hAnsi="Times New Roman" w:cs="Times New Roman"/>
          <w:sz w:val="24"/>
          <w:szCs w:val="24"/>
        </w:rPr>
      </w:pPr>
    </w:p>
    <w:p w14:paraId="15DDB014"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CONTENTS</w:t>
      </w:r>
    </w:p>
    <w:p w14:paraId="74B8AEE0"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I. GENERAL PROVISIONS – 2</w:t>
      </w:r>
    </w:p>
    <w:p w14:paraId="6C19CFBE"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II. CONCEPTS AND TERMS USED – 2</w:t>
      </w:r>
    </w:p>
    <w:p w14:paraId="35439C58"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III. GOALS, OBJECTIVES, AND PRINCIPLES OF THE POLICY – 3</w:t>
      </w:r>
    </w:p>
    <w:p w14:paraId="7DD19A3B"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IV. GOALS AND STAGES OF WORKING WITH PROBLEM LOANS/FINANCING – 4</w:t>
      </w:r>
    </w:p>
    <w:p w14:paraId="6D16C776"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V. PRE-JUDICIAL MEASURES FOR LOAN/FINANCING RECOVERY – 5</w:t>
      </w:r>
    </w:p>
    <w:p w14:paraId="1DEEE7CA"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VI. RESTRUCTURING – 6</w:t>
      </w:r>
    </w:p>
    <w:p w14:paraId="713EF5D7"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VII. DEATH OF THE BORROWER/CLIENT – 8</w:t>
      </w:r>
    </w:p>
    <w:p w14:paraId="176A218F"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VIII. JUDICIAL MEASURES – 9</w:t>
      </w:r>
    </w:p>
    <w:p w14:paraId="5D962684"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IX. MANAGEMENT OF OTHER BANK PROPERTY – 9</w:t>
      </w:r>
    </w:p>
    <w:p w14:paraId="64507F4D"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X. WRITE-OFF OF LOANS/FINANCING – 9</w:t>
      </w:r>
    </w:p>
    <w:p w14:paraId="7F3095A5" w14:textId="77777777" w:rsidR="005C06A7" w:rsidRPr="00E16905" w:rsidRDefault="005C06A7" w:rsidP="005C06A7">
      <w:pPr>
        <w:rPr>
          <w:rFonts w:ascii="Times New Roman" w:hAnsi="Times New Roman" w:cs="Times New Roman"/>
          <w:b/>
          <w:bCs/>
          <w:sz w:val="24"/>
          <w:szCs w:val="24"/>
        </w:rPr>
      </w:pPr>
      <w:r w:rsidRPr="00E16905">
        <w:rPr>
          <w:rFonts w:ascii="Times New Roman" w:hAnsi="Times New Roman" w:cs="Times New Roman"/>
          <w:b/>
          <w:bCs/>
          <w:sz w:val="24"/>
          <w:szCs w:val="24"/>
        </w:rPr>
        <w:t>CHAPTER XI. REPORTING AND RESPONSIBILITY – 10</w:t>
      </w:r>
    </w:p>
    <w:p w14:paraId="05E9D1A2" w14:textId="77777777" w:rsidR="00E16905" w:rsidRPr="00E16905" w:rsidRDefault="00E16905" w:rsidP="00E16905">
      <w:pPr>
        <w:rPr>
          <w:rFonts w:ascii="Times New Roman" w:hAnsi="Times New Roman" w:cs="Times New Roman"/>
          <w:b/>
          <w:bCs/>
          <w:sz w:val="24"/>
          <w:szCs w:val="24"/>
        </w:rPr>
      </w:pPr>
    </w:p>
    <w:p w14:paraId="6379E62B" w14:textId="77777777" w:rsidR="006F423F" w:rsidRDefault="006F423F" w:rsidP="00E16905">
      <w:pPr>
        <w:rPr>
          <w:rFonts w:ascii="Times New Roman" w:hAnsi="Times New Roman" w:cs="Times New Roman"/>
          <w:b/>
          <w:bCs/>
          <w:sz w:val="24"/>
          <w:szCs w:val="24"/>
        </w:rPr>
      </w:pPr>
    </w:p>
    <w:p w14:paraId="03198648" w14:textId="77777777" w:rsidR="006F423F" w:rsidRDefault="006F423F" w:rsidP="00E16905">
      <w:pPr>
        <w:rPr>
          <w:rFonts w:ascii="Times New Roman" w:hAnsi="Times New Roman" w:cs="Times New Roman"/>
          <w:b/>
          <w:bCs/>
          <w:sz w:val="24"/>
          <w:szCs w:val="24"/>
        </w:rPr>
      </w:pPr>
    </w:p>
    <w:p w14:paraId="31FFA2D6" w14:textId="77777777" w:rsidR="006F423F" w:rsidRDefault="006F423F" w:rsidP="00E16905">
      <w:pPr>
        <w:rPr>
          <w:rFonts w:ascii="Times New Roman" w:hAnsi="Times New Roman" w:cs="Times New Roman"/>
          <w:b/>
          <w:bCs/>
          <w:sz w:val="24"/>
          <w:szCs w:val="24"/>
        </w:rPr>
      </w:pPr>
    </w:p>
    <w:p w14:paraId="7C33E287" w14:textId="77777777" w:rsidR="006F423F" w:rsidRDefault="006F423F" w:rsidP="00E16905">
      <w:pPr>
        <w:rPr>
          <w:rFonts w:ascii="Times New Roman" w:hAnsi="Times New Roman" w:cs="Times New Roman"/>
          <w:b/>
          <w:bCs/>
          <w:sz w:val="24"/>
          <w:szCs w:val="24"/>
        </w:rPr>
      </w:pPr>
    </w:p>
    <w:p w14:paraId="761BDC89" w14:textId="3716AE92" w:rsidR="00E16905" w:rsidRPr="00E16905" w:rsidRDefault="00E16905" w:rsidP="00E16905">
      <w:pPr>
        <w:rPr>
          <w:rFonts w:ascii="Times New Roman" w:hAnsi="Times New Roman" w:cs="Times New Roman"/>
          <w:b/>
          <w:bCs/>
          <w:sz w:val="24"/>
          <w:szCs w:val="24"/>
        </w:rPr>
      </w:pPr>
      <w:r w:rsidRPr="00E16905">
        <w:rPr>
          <w:rFonts w:ascii="Times New Roman" w:hAnsi="Times New Roman" w:cs="Times New Roman"/>
          <w:b/>
          <w:bCs/>
          <w:sz w:val="24"/>
          <w:szCs w:val="24"/>
        </w:rPr>
        <w:lastRenderedPageBreak/>
        <w:t>CHAPTER I. GENERAL PROVISIONS</w:t>
      </w:r>
    </w:p>
    <w:p w14:paraId="25E865D0" w14:textId="77777777" w:rsidR="00E16905" w:rsidRPr="00E16905" w:rsidRDefault="00E16905" w:rsidP="00E16905">
      <w:pPr>
        <w:rPr>
          <w:rFonts w:ascii="Times New Roman" w:hAnsi="Times New Roman" w:cs="Times New Roman"/>
          <w:sz w:val="24"/>
          <w:szCs w:val="24"/>
        </w:rPr>
      </w:pPr>
      <w:r w:rsidRPr="00B56FFC">
        <w:rPr>
          <w:rFonts w:ascii="Times New Roman" w:hAnsi="Times New Roman" w:cs="Times New Roman"/>
          <w:b/>
          <w:bCs/>
          <w:sz w:val="24"/>
          <w:szCs w:val="24"/>
        </w:rPr>
        <w:t>1.1 The Policy on</w:t>
      </w:r>
      <w:r w:rsidRPr="00E16905">
        <w:rPr>
          <w:rFonts w:ascii="Times New Roman" w:hAnsi="Times New Roman" w:cs="Times New Roman"/>
          <w:sz w:val="24"/>
          <w:szCs w:val="24"/>
        </w:rPr>
        <w:t xml:space="preserve"> Working with Problem Borrowers/Clients of OJSC “Aiyl Bank” (hereinafter referred to as the Policy) has been developed in accordance with the Civil Code of the Kyrgyz Republic, the Laws of the Kyrgyz Republic “On Pledges” and “On Banks and Banking Activities,” the regulatory legal acts of the National Bank of the Kyrgyz Republic, the Credit and Pledge Policies of OJSC “Aiyl Bank,” the Financing Policy of the “Islamic Window,” and the Charter of OJSC “Aiyl Bank” (hereinafter referred to as the Bank).</w:t>
      </w:r>
    </w:p>
    <w:p w14:paraId="5F96A1B8" w14:textId="77777777" w:rsidR="00B56FFC" w:rsidRDefault="00B56FFC" w:rsidP="00E16905">
      <w:pPr>
        <w:rPr>
          <w:rFonts w:ascii="Times New Roman" w:hAnsi="Times New Roman" w:cs="Times New Roman"/>
          <w:b/>
          <w:bCs/>
          <w:sz w:val="24"/>
          <w:szCs w:val="24"/>
        </w:rPr>
      </w:pPr>
    </w:p>
    <w:p w14:paraId="30C702C9" w14:textId="77777777" w:rsidR="00E16905" w:rsidRPr="00E16905" w:rsidRDefault="00E16905" w:rsidP="00E16905">
      <w:pPr>
        <w:rPr>
          <w:rFonts w:ascii="Times New Roman" w:hAnsi="Times New Roman" w:cs="Times New Roman"/>
          <w:sz w:val="24"/>
          <w:szCs w:val="24"/>
        </w:rPr>
      </w:pPr>
      <w:r w:rsidRPr="00B56FFC">
        <w:rPr>
          <w:rFonts w:ascii="Times New Roman" w:hAnsi="Times New Roman" w:cs="Times New Roman"/>
          <w:b/>
          <w:bCs/>
          <w:sz w:val="24"/>
          <w:szCs w:val="24"/>
        </w:rPr>
        <w:t>1.2 This Policy</w:t>
      </w:r>
      <w:r w:rsidRPr="00E16905">
        <w:rPr>
          <w:rFonts w:ascii="Times New Roman" w:hAnsi="Times New Roman" w:cs="Times New Roman"/>
          <w:sz w:val="24"/>
          <w:szCs w:val="24"/>
        </w:rPr>
        <w:t xml:space="preserve"> regulates the general procedure for working with problem loans/financing to ensure the recovery of loan/financing debts and the effective management of problem borrowers/clients.</w:t>
      </w:r>
    </w:p>
    <w:p w14:paraId="5DC2A4EC" w14:textId="77777777" w:rsidR="00B56FFC" w:rsidRDefault="00B56FFC" w:rsidP="00E16905">
      <w:pPr>
        <w:rPr>
          <w:rFonts w:ascii="Times New Roman" w:hAnsi="Times New Roman" w:cs="Times New Roman"/>
          <w:sz w:val="24"/>
          <w:szCs w:val="24"/>
        </w:rPr>
      </w:pPr>
    </w:p>
    <w:p w14:paraId="0F3DCBA7" w14:textId="77777777" w:rsidR="00E16905" w:rsidRPr="00E16905" w:rsidRDefault="00E16905" w:rsidP="00E16905">
      <w:pPr>
        <w:rPr>
          <w:rFonts w:ascii="Times New Roman" w:hAnsi="Times New Roman" w:cs="Times New Roman"/>
          <w:sz w:val="24"/>
          <w:szCs w:val="24"/>
        </w:rPr>
      </w:pPr>
      <w:r w:rsidRPr="00B56FFC">
        <w:rPr>
          <w:rFonts w:ascii="Times New Roman" w:hAnsi="Times New Roman" w:cs="Times New Roman"/>
          <w:b/>
          <w:bCs/>
          <w:sz w:val="24"/>
          <w:szCs w:val="24"/>
        </w:rPr>
        <w:t>1.3</w:t>
      </w:r>
      <w:r w:rsidRPr="00E16905">
        <w:rPr>
          <w:rFonts w:ascii="Times New Roman" w:hAnsi="Times New Roman" w:cs="Times New Roman"/>
          <w:sz w:val="24"/>
          <w:szCs w:val="24"/>
        </w:rPr>
        <w:t xml:space="preserve"> </w:t>
      </w:r>
      <w:r w:rsidRPr="006F423F">
        <w:rPr>
          <w:rFonts w:ascii="Times New Roman" w:hAnsi="Times New Roman" w:cs="Times New Roman"/>
          <w:b/>
          <w:bCs/>
          <w:sz w:val="24"/>
          <w:szCs w:val="24"/>
        </w:rPr>
        <w:t xml:space="preserve">The Policy </w:t>
      </w:r>
      <w:r w:rsidRPr="00E16905">
        <w:rPr>
          <w:rFonts w:ascii="Times New Roman" w:hAnsi="Times New Roman" w:cs="Times New Roman"/>
          <w:sz w:val="24"/>
          <w:szCs w:val="24"/>
        </w:rPr>
        <w:t>is developed and intended for employees of all structural divisions of the Bank involved in the lending/financing process, serving as a practical guide for their daily operations.</w:t>
      </w:r>
    </w:p>
    <w:p w14:paraId="50BA77F2" w14:textId="77777777" w:rsidR="00B56FFC" w:rsidRDefault="00B56FFC" w:rsidP="00E16905">
      <w:pPr>
        <w:rPr>
          <w:rFonts w:ascii="Times New Roman" w:hAnsi="Times New Roman" w:cs="Times New Roman"/>
          <w:sz w:val="24"/>
          <w:szCs w:val="24"/>
        </w:rPr>
      </w:pPr>
    </w:p>
    <w:p w14:paraId="1C98542F" w14:textId="77777777" w:rsidR="00E16905" w:rsidRPr="00E16905" w:rsidRDefault="00E16905" w:rsidP="00E16905">
      <w:pPr>
        <w:rPr>
          <w:rFonts w:ascii="Times New Roman" w:hAnsi="Times New Roman" w:cs="Times New Roman"/>
          <w:sz w:val="24"/>
          <w:szCs w:val="24"/>
        </w:rPr>
      </w:pPr>
      <w:r w:rsidRPr="00B56FFC">
        <w:rPr>
          <w:rFonts w:ascii="Times New Roman" w:hAnsi="Times New Roman" w:cs="Times New Roman"/>
          <w:b/>
          <w:bCs/>
          <w:sz w:val="24"/>
          <w:szCs w:val="24"/>
        </w:rPr>
        <w:t>1.4</w:t>
      </w:r>
      <w:r w:rsidRPr="00E16905">
        <w:rPr>
          <w:rFonts w:ascii="Times New Roman" w:hAnsi="Times New Roman" w:cs="Times New Roman"/>
          <w:sz w:val="24"/>
          <w:szCs w:val="24"/>
        </w:rPr>
        <w:t xml:space="preserve"> </w:t>
      </w:r>
      <w:r w:rsidRPr="006F423F">
        <w:rPr>
          <w:rFonts w:ascii="Times New Roman" w:hAnsi="Times New Roman" w:cs="Times New Roman"/>
          <w:b/>
          <w:bCs/>
          <w:sz w:val="24"/>
          <w:szCs w:val="24"/>
        </w:rPr>
        <w:t>The Policy</w:t>
      </w:r>
      <w:r w:rsidRPr="00E16905">
        <w:rPr>
          <w:rFonts w:ascii="Times New Roman" w:hAnsi="Times New Roman" w:cs="Times New Roman"/>
          <w:sz w:val="24"/>
          <w:szCs w:val="24"/>
        </w:rPr>
        <w:t xml:space="preserve"> is approved by a resolution of the Bank’s Board of Directors. As necessary, appropriate amendments and additions may be made to the Policy. All amendments and additions to the Policy are approved by a resolution of the Bank’s Board of Directors and must be reviewed in accordance with changes and additions to the legislation of the Kyrgyz Republic and the Bank’s strategy, but no less frequently than once a year.</w:t>
      </w:r>
    </w:p>
    <w:p w14:paraId="1AE25DAD" w14:textId="77777777" w:rsidR="00E16905" w:rsidRPr="00E16905" w:rsidRDefault="00E16905" w:rsidP="00E16905">
      <w:pPr>
        <w:rPr>
          <w:rFonts w:ascii="Times New Roman" w:hAnsi="Times New Roman" w:cs="Times New Roman"/>
          <w:sz w:val="24"/>
          <w:szCs w:val="24"/>
        </w:rPr>
      </w:pPr>
      <w:r w:rsidRPr="00E16905">
        <w:rPr>
          <w:rFonts w:ascii="Times New Roman" w:hAnsi="Times New Roman" w:cs="Times New Roman"/>
          <w:sz w:val="24"/>
          <w:szCs w:val="24"/>
        </w:rPr>
        <w:t>(As amended by the Resolution of the Board of Directors of OJSC “Aiyl Bank” dated December 28, 2022, No. 63/3)</w:t>
      </w:r>
    </w:p>
    <w:p w14:paraId="79307E13" w14:textId="77777777" w:rsidR="00B56FFC" w:rsidRDefault="00B56FFC" w:rsidP="00E16905">
      <w:pPr>
        <w:rPr>
          <w:rFonts w:ascii="Times New Roman" w:hAnsi="Times New Roman" w:cs="Times New Roman"/>
          <w:sz w:val="24"/>
          <w:szCs w:val="24"/>
        </w:rPr>
      </w:pPr>
    </w:p>
    <w:p w14:paraId="5461A300" w14:textId="77777777" w:rsidR="00E16905" w:rsidRPr="00E16905" w:rsidRDefault="00E16905" w:rsidP="00E16905">
      <w:pPr>
        <w:rPr>
          <w:rFonts w:ascii="Times New Roman" w:hAnsi="Times New Roman" w:cs="Times New Roman"/>
          <w:sz w:val="24"/>
          <w:szCs w:val="24"/>
        </w:rPr>
      </w:pPr>
      <w:proofErr w:type="gramStart"/>
      <w:r w:rsidRPr="00B56FFC">
        <w:rPr>
          <w:rFonts w:ascii="Times New Roman" w:hAnsi="Times New Roman" w:cs="Times New Roman"/>
          <w:b/>
          <w:bCs/>
          <w:sz w:val="24"/>
          <w:szCs w:val="24"/>
        </w:rPr>
        <w:t>1.5</w:t>
      </w:r>
      <w:proofErr w:type="gramEnd"/>
      <w:r w:rsidRPr="00E16905">
        <w:rPr>
          <w:rFonts w:ascii="Times New Roman" w:hAnsi="Times New Roman" w:cs="Times New Roman"/>
          <w:sz w:val="24"/>
          <w:szCs w:val="24"/>
        </w:rPr>
        <w:t xml:space="preserve"> </w:t>
      </w:r>
      <w:r w:rsidRPr="005B03BD">
        <w:rPr>
          <w:rFonts w:ascii="Times New Roman" w:hAnsi="Times New Roman" w:cs="Times New Roman"/>
          <w:b/>
          <w:bCs/>
          <w:sz w:val="24"/>
          <w:szCs w:val="24"/>
        </w:rPr>
        <w:t>If necessary</w:t>
      </w:r>
      <w:r w:rsidRPr="00E16905">
        <w:rPr>
          <w:rFonts w:ascii="Times New Roman" w:hAnsi="Times New Roman" w:cs="Times New Roman"/>
          <w:sz w:val="24"/>
          <w:szCs w:val="24"/>
        </w:rPr>
        <w:t>, the Bank’s Board of Directors may adopt a separate decision that deviates from the conditions and/or requirements of this Policy without making amendments and/or additions to the Policy itself. Such a decision is mandatory for implementation and compliance by all structural divisions and officials/employees of the Bank.</w:t>
      </w:r>
    </w:p>
    <w:p w14:paraId="40B719D5" w14:textId="77777777" w:rsidR="00E16905" w:rsidRPr="0026612A" w:rsidRDefault="00E16905" w:rsidP="00E16905">
      <w:pPr>
        <w:rPr>
          <w:rFonts w:ascii="Times New Roman" w:hAnsi="Times New Roman" w:cs="Times New Roman"/>
          <w:color w:val="4F81BD" w:themeColor="accent1"/>
          <w:sz w:val="24"/>
          <w:szCs w:val="24"/>
        </w:rPr>
      </w:pPr>
      <w:r w:rsidRPr="0026612A">
        <w:rPr>
          <w:rFonts w:ascii="Times New Roman" w:hAnsi="Times New Roman" w:cs="Times New Roman"/>
          <w:color w:val="0070C0"/>
          <w:sz w:val="24"/>
          <w:szCs w:val="24"/>
        </w:rPr>
        <w:t>(</w:t>
      </w:r>
      <w:r w:rsidRPr="0026612A">
        <w:rPr>
          <w:rFonts w:ascii="Times New Roman" w:hAnsi="Times New Roman" w:cs="Times New Roman"/>
          <w:color w:val="4F81BD" w:themeColor="accent1"/>
          <w:sz w:val="24"/>
          <w:szCs w:val="24"/>
        </w:rPr>
        <w:t>As amended by the Resolution of the Board of Directors of OJSC “Aiyl Bank” dated November 18, 2015, No. 36/4)</w:t>
      </w:r>
    </w:p>
    <w:p w14:paraId="4B66CA42" w14:textId="77777777" w:rsidR="00470213" w:rsidRDefault="00470213" w:rsidP="00470213">
      <w:pPr>
        <w:rPr>
          <w:rFonts w:ascii="Times New Roman" w:hAnsi="Times New Roman" w:cs="Times New Roman"/>
          <w:sz w:val="24"/>
          <w:szCs w:val="24"/>
        </w:rPr>
      </w:pPr>
    </w:p>
    <w:p w14:paraId="416A2390" w14:textId="77777777" w:rsidR="00470213" w:rsidRPr="00470213" w:rsidRDefault="00470213" w:rsidP="00470213">
      <w:pPr>
        <w:rPr>
          <w:rFonts w:ascii="Times New Roman" w:hAnsi="Times New Roman" w:cs="Times New Roman"/>
          <w:sz w:val="24"/>
          <w:szCs w:val="24"/>
        </w:rPr>
      </w:pPr>
    </w:p>
    <w:p w14:paraId="1FE32022" w14:textId="77777777" w:rsidR="00470213" w:rsidRPr="00470213" w:rsidRDefault="00470213" w:rsidP="00470213">
      <w:pPr>
        <w:rPr>
          <w:rFonts w:ascii="Times New Roman" w:hAnsi="Times New Roman" w:cs="Times New Roman"/>
          <w:b/>
          <w:bCs/>
          <w:sz w:val="24"/>
          <w:szCs w:val="24"/>
        </w:rPr>
      </w:pPr>
      <w:r w:rsidRPr="00470213">
        <w:rPr>
          <w:rFonts w:ascii="Times New Roman" w:hAnsi="Times New Roman" w:cs="Times New Roman"/>
          <w:b/>
          <w:bCs/>
          <w:sz w:val="24"/>
          <w:szCs w:val="24"/>
        </w:rPr>
        <w:t>CHAPTER II. CONCEPTS AND TERMS USED</w:t>
      </w:r>
    </w:p>
    <w:p w14:paraId="67548381"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 xml:space="preserve">2.1 </w:t>
      </w:r>
      <w:r w:rsidRPr="005B03BD">
        <w:rPr>
          <w:rFonts w:ascii="Times New Roman" w:hAnsi="Times New Roman" w:cs="Times New Roman"/>
          <w:b/>
          <w:bCs/>
          <w:sz w:val="24"/>
          <w:szCs w:val="24"/>
        </w:rPr>
        <w:t>Within the framework</w:t>
      </w:r>
      <w:r w:rsidRPr="00470213">
        <w:rPr>
          <w:rFonts w:ascii="Times New Roman" w:hAnsi="Times New Roman" w:cs="Times New Roman"/>
          <w:sz w:val="24"/>
          <w:szCs w:val="24"/>
        </w:rPr>
        <w:t xml:space="preserve"> of this Policy, the following concepts and terms are used.</w:t>
      </w:r>
    </w:p>
    <w:p w14:paraId="3045CCD2"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 xml:space="preserve">2.2 </w:t>
      </w:r>
      <w:r w:rsidRPr="005B03BD">
        <w:rPr>
          <w:rFonts w:ascii="Times New Roman" w:hAnsi="Times New Roman" w:cs="Times New Roman"/>
          <w:b/>
          <w:bCs/>
          <w:sz w:val="24"/>
          <w:szCs w:val="24"/>
        </w:rPr>
        <w:t>Problem Loan/Financing</w:t>
      </w:r>
      <w:r w:rsidRPr="00470213">
        <w:rPr>
          <w:rFonts w:ascii="Times New Roman" w:hAnsi="Times New Roman" w:cs="Times New Roman"/>
          <w:sz w:val="24"/>
          <w:szCs w:val="24"/>
        </w:rPr>
        <w:t xml:space="preserve"> – A loan/financing where the borrower/client fails to comply with the terms of the loan agreement/financing agreement, or where, due to certain circumstances (e.g., external or financial), the fulfillment of obligations to the Bank and the repayment of the loan/financing are jeopardized.</w:t>
      </w:r>
    </w:p>
    <w:p w14:paraId="00CF6FC8"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2.3 Judicial Loan/Financing – A problem loan/financing that has been submitted to a court for the enforced recovery of the loan/financing debt.</w:t>
      </w:r>
    </w:p>
    <w:p w14:paraId="30FFF6D1"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2.4 Loan/Financing Debt – The debt of the borrower/client to the Bank, which includes: the unpaid principal amount of the loan/financing, accrued but unpaid interest/markups/income from Islamic financing products (IFP), penalties, and the Bank’s expenses related to loan/financing recovery (e.g., registration of notices, state duties, postal expenses, etc.).</w:t>
      </w:r>
    </w:p>
    <w:p w14:paraId="66AC7B61"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 xml:space="preserve">2.5 Overdue Loan/Financing – A loan/financing where repayment of the principal amount and/or interest/markups/income from IFP (hereinafter referred to as overdue) is delayed by more than 500 KGS starting from the 2nd day, as well as a loan/financing where the final repayment deadline has </w:t>
      </w:r>
      <w:r w:rsidRPr="00470213">
        <w:rPr>
          <w:rFonts w:ascii="Times New Roman" w:hAnsi="Times New Roman" w:cs="Times New Roman"/>
          <w:sz w:val="24"/>
          <w:szCs w:val="24"/>
        </w:rPr>
        <w:lastRenderedPageBreak/>
        <w:t>expired, regardless of the size and duration of the overdue amount. If the duration of the current overdue period is 30 days or more, the loan/financing is classified as a problem loan/financing.</w:t>
      </w:r>
    </w:p>
    <w:p w14:paraId="02061A36"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(As amended by the Resolution of the Board of Directors of OJSC “Aiyl Bank” dated January 11, 2024, No. 2/6)</w:t>
      </w:r>
    </w:p>
    <w:p w14:paraId="3F283CDE"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2.6 Pre-Judicial Debt Recovery Measures – A set of measures involving cooperation between the Bank, the borrower/client, the pledgor, and the guarantor aimed at repaying the loan/financing debt, including the extrajudicial enforcement of pledged movable property in accordance with the pledge agreement.</w:t>
      </w:r>
    </w:p>
    <w:p w14:paraId="05B3F3C9"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2.7 Restructured Loans/Financing – Loans/financing for which the Bank provides the borrower/client with individual preferences (concessions) by amending the terms of the agreement (with the mandatory conclusion of a new agreement or an additional agreement to the loan/financing agreement), differing from the Bank’s standard lending/financing practices.</w:t>
      </w:r>
    </w:p>
    <w:p w14:paraId="639C160C"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2.8 Loan/Financing Extension (Prolongation) – An amendment to the terms of the loan agreement/financing agreement by extending the final repayment deadline for the principal amount and interest/markup of the loan/financing.</w:t>
      </w:r>
    </w:p>
    <w:p w14:paraId="7606B4C1"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2.9 Deferral of Scheduled Payments – An amendment to the terms of the loan agreement/financing agreement by revising the repayment schedule and amounts of the principal loan/financing and interest/markups/income from IFP before the loan/financing repayment deadline expires.</w:t>
      </w:r>
    </w:p>
    <w:p w14:paraId="7A514D9D" w14:textId="77777777" w:rsidR="00470213" w:rsidRPr="00470213" w:rsidRDefault="00470213" w:rsidP="00470213">
      <w:pPr>
        <w:rPr>
          <w:rFonts w:ascii="Times New Roman" w:hAnsi="Times New Roman" w:cs="Times New Roman"/>
          <w:sz w:val="24"/>
          <w:szCs w:val="24"/>
        </w:rPr>
      </w:pPr>
      <w:r w:rsidRPr="00470213">
        <w:rPr>
          <w:rFonts w:ascii="Times New Roman" w:hAnsi="Times New Roman" w:cs="Times New Roman"/>
          <w:sz w:val="24"/>
          <w:szCs w:val="24"/>
        </w:rPr>
        <w:t>2.10 Other Bank Property – Property (movable and immovable) acquired by the Bank through purchase or transferred by a client as full or partial repayment of their debt to the Bank for previously issued loans/financing.</w:t>
      </w:r>
    </w:p>
    <w:p w14:paraId="1C1B89D5" w14:textId="77777777" w:rsidR="00470213" w:rsidRPr="00470213" w:rsidRDefault="00470213" w:rsidP="00470213">
      <w:pPr>
        <w:rPr>
          <w:rFonts w:ascii="Times New Roman" w:hAnsi="Times New Roman" w:cs="Times New Roman"/>
          <w:sz w:val="24"/>
          <w:szCs w:val="24"/>
        </w:rPr>
      </w:pPr>
      <w:r w:rsidRPr="0026612A">
        <w:rPr>
          <w:rFonts w:ascii="Times New Roman" w:hAnsi="Times New Roman" w:cs="Times New Roman"/>
          <w:color w:val="4F81BD" w:themeColor="accent1"/>
          <w:sz w:val="24"/>
          <w:szCs w:val="24"/>
        </w:rPr>
        <w:t>(As amended by the Resolution of the Board of Directors of OJSC “Aiyl Bank” dated January 11, 2024, No. 2/6)</w:t>
      </w:r>
    </w:p>
    <w:p w14:paraId="6783655A" w14:textId="77777777" w:rsidR="00470213" w:rsidRPr="00470213" w:rsidRDefault="00470213" w:rsidP="00470213">
      <w:pPr>
        <w:rPr>
          <w:rFonts w:ascii="Times New Roman" w:hAnsi="Times New Roman" w:cs="Times New Roman"/>
          <w:sz w:val="24"/>
          <w:szCs w:val="24"/>
        </w:rPr>
      </w:pPr>
    </w:p>
    <w:p w14:paraId="36D417A5" w14:textId="77777777" w:rsidR="004E02D3" w:rsidRPr="004E02D3" w:rsidRDefault="004E02D3" w:rsidP="004E02D3">
      <w:pPr>
        <w:rPr>
          <w:rFonts w:ascii="Times New Roman" w:hAnsi="Times New Roman" w:cs="Times New Roman"/>
          <w:sz w:val="24"/>
          <w:szCs w:val="24"/>
        </w:rPr>
      </w:pPr>
    </w:p>
    <w:p w14:paraId="019BE8A4" w14:textId="77777777" w:rsidR="004E02D3" w:rsidRPr="00950A7C" w:rsidRDefault="004E02D3" w:rsidP="004E02D3">
      <w:pPr>
        <w:rPr>
          <w:rFonts w:ascii="Times New Roman" w:hAnsi="Times New Roman" w:cs="Times New Roman"/>
          <w:b/>
          <w:bCs/>
          <w:sz w:val="24"/>
          <w:szCs w:val="24"/>
        </w:rPr>
      </w:pPr>
      <w:r w:rsidRPr="00950A7C">
        <w:rPr>
          <w:rFonts w:ascii="Times New Roman" w:hAnsi="Times New Roman" w:cs="Times New Roman"/>
          <w:b/>
          <w:bCs/>
          <w:sz w:val="24"/>
          <w:szCs w:val="24"/>
        </w:rPr>
        <w:t>CHAPTER III. GOALS, OBJECTIVES, AND PRINCIPLES OF THE POLICY</w:t>
      </w:r>
    </w:p>
    <w:p w14:paraId="55388AEF"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3.1. The primary goal of the Bank’s Policy is to reduce credit risk and implement key actions and measures to prevent and minimize losses associated with problem loans/financing.</w:t>
      </w:r>
    </w:p>
    <w:p w14:paraId="7536C4DE"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3.2. The objectives of the Policy are:</w:t>
      </w:r>
    </w:p>
    <w:p w14:paraId="512B8058"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Timely identification of problem loans/financing and the implementation of a series of measures aimed at recovering the loan/financing;</w:t>
      </w:r>
    </w:p>
    <w:p w14:paraId="0CE78803"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Identification of the causes of problem loans/financing;</w:t>
      </w:r>
    </w:p>
    <w:p w14:paraId="29599EFA"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Determination of the proper organization of the Bank’s work with problem loans/financing;</w:t>
      </w:r>
    </w:p>
    <w:p w14:paraId="6E34A606"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Identification of the main approaches to resolving issues related to problem loans/financing.</w:t>
      </w:r>
    </w:p>
    <w:p w14:paraId="74D21FC6"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3.3. The Policy is based on the following principles:</w:t>
      </w:r>
    </w:p>
    <w:p w14:paraId="3C19E8D7"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Ensuring the efficient operation of the Bank;</w:t>
      </w:r>
    </w:p>
    <w:p w14:paraId="490647F6"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Preventing problem loans/financing;</w:t>
      </w:r>
    </w:p>
    <w:p w14:paraId="110389A1" w14:textId="77777777" w:rsidR="004E02D3" w:rsidRPr="004E02D3" w:rsidRDefault="004E02D3" w:rsidP="004E02D3">
      <w:pPr>
        <w:rPr>
          <w:rFonts w:ascii="Times New Roman" w:hAnsi="Times New Roman" w:cs="Times New Roman"/>
          <w:sz w:val="24"/>
          <w:szCs w:val="24"/>
        </w:rPr>
      </w:pPr>
      <w:r w:rsidRPr="004E02D3">
        <w:rPr>
          <w:rFonts w:ascii="Times New Roman" w:hAnsi="Times New Roman" w:cs="Times New Roman"/>
          <w:sz w:val="24"/>
          <w:szCs w:val="24"/>
        </w:rPr>
        <w:tab/>
        <w:t>•</w:t>
      </w:r>
      <w:r w:rsidRPr="004E02D3">
        <w:rPr>
          <w:rFonts w:ascii="Times New Roman" w:hAnsi="Times New Roman" w:cs="Times New Roman"/>
          <w:sz w:val="24"/>
          <w:szCs w:val="24"/>
        </w:rPr>
        <w:tab/>
        <w:t>Ensuring the timely repayment of loan/financing debt.</w:t>
      </w:r>
    </w:p>
    <w:p w14:paraId="4FC3901F" w14:textId="77777777" w:rsidR="004E02D3" w:rsidRPr="0026612A" w:rsidRDefault="004E02D3" w:rsidP="004E02D3">
      <w:pPr>
        <w:rPr>
          <w:rFonts w:ascii="Times New Roman" w:hAnsi="Times New Roman" w:cs="Times New Roman"/>
          <w:color w:val="4F81BD" w:themeColor="accent1"/>
          <w:sz w:val="24"/>
          <w:szCs w:val="24"/>
        </w:rPr>
      </w:pPr>
      <w:r w:rsidRPr="0026612A">
        <w:rPr>
          <w:rFonts w:ascii="Times New Roman" w:hAnsi="Times New Roman" w:cs="Times New Roman"/>
          <w:color w:val="4F81BD" w:themeColor="accent1"/>
          <w:sz w:val="24"/>
          <w:szCs w:val="24"/>
        </w:rPr>
        <w:t>(As amended by the Resolution of the Board of Directors of OJSC “Aiyl Bank” dated December 28, 2022, No. 63/3)</w:t>
      </w:r>
    </w:p>
    <w:p w14:paraId="1C7CDCAA" w14:textId="77777777" w:rsidR="00291090" w:rsidRPr="002D1684" w:rsidRDefault="00291090" w:rsidP="002D1684">
      <w:pPr>
        <w:rPr>
          <w:rFonts w:ascii="Times New Roman" w:hAnsi="Times New Roman" w:cs="Times New Roman"/>
          <w:sz w:val="24"/>
          <w:szCs w:val="24"/>
        </w:rPr>
      </w:pPr>
    </w:p>
    <w:p w14:paraId="7D2A32B5" w14:textId="77777777" w:rsidR="002D1684" w:rsidRPr="002D1684" w:rsidRDefault="002D1684" w:rsidP="002D1684">
      <w:pPr>
        <w:rPr>
          <w:rFonts w:ascii="Times New Roman" w:hAnsi="Times New Roman" w:cs="Times New Roman"/>
          <w:b/>
          <w:bCs/>
          <w:sz w:val="24"/>
          <w:szCs w:val="24"/>
        </w:rPr>
      </w:pPr>
      <w:r w:rsidRPr="002D1684">
        <w:rPr>
          <w:rFonts w:ascii="Times New Roman" w:hAnsi="Times New Roman" w:cs="Times New Roman"/>
          <w:b/>
          <w:bCs/>
          <w:sz w:val="24"/>
          <w:szCs w:val="24"/>
        </w:rPr>
        <w:t>CHAPTER IV. GOALS AND STAGES OF WORKING WITH PROBLEM LOANS/FINANCING</w:t>
      </w:r>
    </w:p>
    <w:p w14:paraId="56E8387F" w14:textId="77777777" w:rsidR="002D1684" w:rsidRPr="0026612A" w:rsidRDefault="002D1684" w:rsidP="002D1684">
      <w:pPr>
        <w:rPr>
          <w:rFonts w:ascii="Times New Roman" w:hAnsi="Times New Roman" w:cs="Times New Roman"/>
          <w:color w:val="4F81BD" w:themeColor="accent1"/>
          <w:sz w:val="24"/>
          <w:szCs w:val="24"/>
        </w:rPr>
      </w:pPr>
      <w:r w:rsidRPr="002D1684">
        <w:rPr>
          <w:rFonts w:ascii="Times New Roman" w:hAnsi="Times New Roman" w:cs="Times New Roman"/>
          <w:sz w:val="24"/>
          <w:szCs w:val="24"/>
        </w:rPr>
        <w:lastRenderedPageBreak/>
        <w:t>(</w:t>
      </w:r>
      <w:r w:rsidRPr="0026612A">
        <w:rPr>
          <w:rFonts w:ascii="Times New Roman" w:hAnsi="Times New Roman" w:cs="Times New Roman"/>
          <w:color w:val="4F81BD" w:themeColor="accent1"/>
          <w:sz w:val="24"/>
          <w:szCs w:val="24"/>
        </w:rPr>
        <w:t>As amended by the Resolution of the Board of Directors of OJSC “Aiyl Bank” dated December 28, 2022, No. 63/3)</w:t>
      </w:r>
    </w:p>
    <w:p w14:paraId="25CC4BF6"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4.1. The primary goal of working with problem loans/financing is to define the key actions and measures of the Bank aimed at preventing and minimizing losses associated with problem loans/financing. In the event of issues with loan/financing repayment, the Bank informs borrowers/clients about the established rules for handling problem loans/financing, under which necessary and effective measures are undertaken with the borrower/client to identify problems and seek solutions. The Bank publishes an electronic version of the Policy on Working with Problem Borrowers/Clients on its official website.</w:t>
      </w:r>
    </w:p>
    <w:p w14:paraId="298ADE75"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4.1-1. Measures for organizational, financial, and other assistance provided by the Bank to a problem borrower/client, aimed at overcoming a crisis and fulfilling the borrower’s/client’s obligations to the Bank, shall include:</w:t>
      </w:r>
    </w:p>
    <w:p w14:paraId="4F84E9EC"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Analysis of problem borrowers/clients regarding the success (sufficiency of accumulated funds to service the debt) of implemented measures and restructuring (refinancing) of the loan/financing through extended monitoring;</w:t>
      </w:r>
    </w:p>
    <w:p w14:paraId="390EDE26"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(Excluded by the Resolution of the Board of Directors of OJSC “Aiyl Bank” dated September 27, 2019, No. 51/2)</w:t>
      </w:r>
    </w:p>
    <w:p w14:paraId="0A6D225D"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Obtaining additional collateral and guarantees;</w:t>
      </w:r>
    </w:p>
    <w:p w14:paraId="17CBF300"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If necessary, developing a program to restructure the debt (revision of the repayment schedule for the loan/financing and payment of interest/markups/income from Islamic financing products (IFP), changes to lending forms, etc.).</w:t>
      </w:r>
    </w:p>
    <w:p w14:paraId="0635F6BC"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4.1-2. Alongside these measures, continuous engagement with the borrower/client is required, which may include:</w:t>
      </w:r>
    </w:p>
    <w:p w14:paraId="5F473275"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Sending a notification to the borrower/client stating that they have violated the terms of the loan agreement/financing agreement, that the loan/financing term is overdue, and about potential issues arising from this;</w:t>
      </w:r>
    </w:p>
    <w:p w14:paraId="49679A21"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Conducting negotiations;</w:t>
      </w:r>
    </w:p>
    <w:p w14:paraId="2690C5D9"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Summoning the borrower/client to the Bank, etc.</w:t>
      </w:r>
    </w:p>
    <w:p w14:paraId="1B02D1DA"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4.2. To ensure the direct repayment of the loan/financing in the shortest possible time, the process of working with problem loans/financing includes the following stages:</w:t>
      </w:r>
    </w:p>
    <w:p w14:paraId="56395EA0"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Pre-judicial measures;</w:t>
      </w:r>
    </w:p>
    <w:p w14:paraId="71F0166F"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Judicial measures (enforcement against pledged property), including enforcement proceedings and criminal proceedings;</w:t>
      </w:r>
    </w:p>
    <w:p w14:paraId="22999943"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Write-off of loan/financing debt;</w:t>
      </w:r>
    </w:p>
    <w:p w14:paraId="79995968"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Sale of the borrower’s/client’s debt to a third party. The sale of debt to a third party must only be conducted with the approval of the Bank’s Credit Committee/Islamic Window Financing Committee and with justification for the reasons for selling the borrower’s/client’s debt to a third party, in accordance with the legislation of the Kyrgyz Republic;</w:t>
      </w:r>
    </w:p>
    <w:p w14:paraId="0B07E238"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Engagement with guarantors and sureties;</w:t>
      </w:r>
    </w:p>
    <w:p w14:paraId="487E4680"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Other measures.</w:t>
      </w:r>
    </w:p>
    <w:p w14:paraId="2F637345" w14:textId="77777777" w:rsidR="002D1684" w:rsidRPr="002D1684" w:rsidRDefault="002D1684" w:rsidP="002D1684">
      <w:pPr>
        <w:rPr>
          <w:rFonts w:ascii="Times New Roman" w:hAnsi="Times New Roman" w:cs="Times New Roman"/>
          <w:sz w:val="24"/>
          <w:szCs w:val="24"/>
        </w:rPr>
      </w:pPr>
      <w:r w:rsidRPr="00807B68">
        <w:rPr>
          <w:rFonts w:ascii="Times New Roman" w:hAnsi="Times New Roman" w:cs="Times New Roman"/>
          <w:b/>
          <w:bCs/>
          <w:sz w:val="24"/>
          <w:szCs w:val="24"/>
        </w:rPr>
        <w:t>4.3.</w:t>
      </w:r>
      <w:r w:rsidRPr="002D1684">
        <w:rPr>
          <w:rFonts w:ascii="Times New Roman" w:hAnsi="Times New Roman" w:cs="Times New Roman"/>
          <w:sz w:val="24"/>
          <w:szCs w:val="24"/>
        </w:rPr>
        <w:t xml:space="preserve"> Written appeals from legal entities and individuals are reviewed by the Bank in the manner and within the timeframes established by the Bank’s internal regulations and the legislation of the Kyrgyz Republic.</w:t>
      </w:r>
    </w:p>
    <w:p w14:paraId="1549DE95"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4.4. Clients may submit appeals in the state or official languages of the Kyrgyz Republic. Responses to written appeals from clients are provided in the language of the appeal.</w:t>
      </w:r>
    </w:p>
    <w:p w14:paraId="4DECBCAA" w14:textId="77777777" w:rsidR="002D1684" w:rsidRPr="002D1684" w:rsidRDefault="002D1684" w:rsidP="002D1684">
      <w:pPr>
        <w:rPr>
          <w:rFonts w:ascii="Times New Roman" w:hAnsi="Times New Roman" w:cs="Times New Roman"/>
          <w:sz w:val="24"/>
          <w:szCs w:val="24"/>
        </w:rPr>
      </w:pPr>
      <w:r w:rsidRPr="00807B68">
        <w:rPr>
          <w:rFonts w:ascii="Times New Roman" w:hAnsi="Times New Roman" w:cs="Times New Roman"/>
          <w:b/>
          <w:bCs/>
          <w:sz w:val="24"/>
          <w:szCs w:val="24"/>
        </w:rPr>
        <w:lastRenderedPageBreak/>
        <w:t>4.5.</w:t>
      </w:r>
      <w:r w:rsidRPr="002D1684">
        <w:rPr>
          <w:rFonts w:ascii="Times New Roman" w:hAnsi="Times New Roman" w:cs="Times New Roman"/>
          <w:sz w:val="24"/>
          <w:szCs w:val="24"/>
        </w:rPr>
        <w:t xml:space="preserve"> The total period for reviewing a client’s (borrower’s/client’s) application regarding restructuring, write-off of loan/financing debt, deferral of judicial loan/financing repayment, conclusion of a settlement agreement, sale of collateral, repurchase of other property by the former owner, etc., must not exceed 14 calendar days from the date of registration of the application. If necessary, this period may be extended by the Chairman/supervising member of the Management Board within the framework of the legislation of the Kyrgyz Republic.</w:t>
      </w:r>
    </w:p>
    <w:p w14:paraId="0E0EAAFD" w14:textId="77777777" w:rsidR="002D1684" w:rsidRPr="002D1684" w:rsidRDefault="002D1684" w:rsidP="002D1684">
      <w:pPr>
        <w:rPr>
          <w:rFonts w:ascii="Times New Roman" w:hAnsi="Times New Roman" w:cs="Times New Roman"/>
          <w:sz w:val="24"/>
          <w:szCs w:val="24"/>
        </w:rPr>
      </w:pPr>
      <w:r w:rsidRPr="00807B68">
        <w:rPr>
          <w:rFonts w:ascii="Times New Roman" w:hAnsi="Times New Roman" w:cs="Times New Roman"/>
          <w:b/>
          <w:bCs/>
          <w:sz w:val="24"/>
          <w:szCs w:val="24"/>
        </w:rPr>
        <w:t>4.6</w:t>
      </w:r>
      <w:r w:rsidRPr="002D1684">
        <w:rPr>
          <w:rFonts w:ascii="Times New Roman" w:hAnsi="Times New Roman" w:cs="Times New Roman"/>
          <w:sz w:val="24"/>
          <w:szCs w:val="24"/>
        </w:rPr>
        <w:t>. The process of reviewing a client’s application includes the following stages when the client’s application is submitted to the Credit Committee/Islamic Window Financing Committee for consideration:</w:t>
      </w:r>
    </w:p>
    <w:p w14:paraId="63C26E98"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Preparation of recommendations and conclusions by the relevant department responsible for handling the application;</w:t>
      </w:r>
    </w:p>
    <w:p w14:paraId="3519B062"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Submission of the matter to the Bank’s/branch’s Credit Committee;</w:t>
      </w:r>
    </w:p>
    <w:p w14:paraId="35908069"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ab/>
        <w:t>•</w:t>
      </w:r>
      <w:r w:rsidRPr="002D1684">
        <w:rPr>
          <w:rFonts w:ascii="Times New Roman" w:hAnsi="Times New Roman" w:cs="Times New Roman"/>
          <w:sz w:val="24"/>
          <w:szCs w:val="24"/>
        </w:rPr>
        <w:tab/>
        <w:t>A written response is sent to the applicant within the established timeframe based on the outcome of the review by the Credit Committee/Islamic Window Financing Committee.</w:t>
      </w:r>
    </w:p>
    <w:p w14:paraId="039B09B3" w14:textId="77777777" w:rsidR="002D1684" w:rsidRPr="002D1684" w:rsidRDefault="002D1684" w:rsidP="002D1684">
      <w:pPr>
        <w:rPr>
          <w:rFonts w:ascii="Times New Roman" w:hAnsi="Times New Roman" w:cs="Times New Roman"/>
          <w:sz w:val="24"/>
          <w:szCs w:val="24"/>
        </w:rPr>
      </w:pPr>
      <w:r w:rsidRPr="00807B68">
        <w:rPr>
          <w:rFonts w:ascii="Times New Roman" w:hAnsi="Times New Roman" w:cs="Times New Roman"/>
          <w:b/>
          <w:bCs/>
          <w:sz w:val="24"/>
          <w:szCs w:val="24"/>
        </w:rPr>
        <w:t>4.7</w:t>
      </w:r>
      <w:r w:rsidRPr="002D1684">
        <w:rPr>
          <w:rFonts w:ascii="Times New Roman" w:hAnsi="Times New Roman" w:cs="Times New Roman"/>
          <w:sz w:val="24"/>
          <w:szCs w:val="24"/>
        </w:rPr>
        <w:t>. Written appeals from clients are considered resolved if they have been reviewed, necessary measures have been taken regarding the issues raised, and written responses have been provided to clients within the timeframe specified in paragraph 4.5 of this Policy.</w:t>
      </w:r>
    </w:p>
    <w:p w14:paraId="6DCFCB6D" w14:textId="77777777" w:rsidR="002D1684" w:rsidRPr="002D1684" w:rsidRDefault="002D1684" w:rsidP="002D1684">
      <w:pPr>
        <w:rPr>
          <w:rFonts w:ascii="Times New Roman" w:hAnsi="Times New Roman" w:cs="Times New Roman"/>
          <w:sz w:val="24"/>
          <w:szCs w:val="24"/>
        </w:rPr>
      </w:pPr>
      <w:r w:rsidRPr="00807B68">
        <w:rPr>
          <w:rFonts w:ascii="Times New Roman" w:hAnsi="Times New Roman" w:cs="Times New Roman"/>
          <w:b/>
          <w:bCs/>
          <w:sz w:val="24"/>
          <w:szCs w:val="24"/>
        </w:rPr>
        <w:t>4.8.</w:t>
      </w:r>
      <w:r w:rsidRPr="002D1684">
        <w:rPr>
          <w:rFonts w:ascii="Times New Roman" w:hAnsi="Times New Roman" w:cs="Times New Roman"/>
          <w:sz w:val="24"/>
          <w:szCs w:val="24"/>
        </w:rPr>
        <w:t xml:space="preserve"> The procedure for working with problem loans/financing is established by the Bank’s internal regulations on handling problem loans.</w:t>
      </w:r>
    </w:p>
    <w:p w14:paraId="57BC05AA" w14:textId="77777777" w:rsidR="002D1684" w:rsidRPr="002D1684" w:rsidRDefault="002D1684" w:rsidP="002D1684">
      <w:pPr>
        <w:rPr>
          <w:rFonts w:ascii="Times New Roman" w:hAnsi="Times New Roman" w:cs="Times New Roman"/>
          <w:sz w:val="24"/>
          <w:szCs w:val="24"/>
        </w:rPr>
      </w:pPr>
      <w:r w:rsidRPr="002D1684">
        <w:rPr>
          <w:rFonts w:ascii="Times New Roman" w:hAnsi="Times New Roman" w:cs="Times New Roman"/>
          <w:sz w:val="24"/>
          <w:szCs w:val="24"/>
        </w:rPr>
        <w:t>4.9. When conducting meetings, discussions, and other activities with problem creditors/debtors, the Bank adheres to accepted business and professional etiquette, the norms of which are regulated by the Bank’s internal documents.</w:t>
      </w:r>
    </w:p>
    <w:p w14:paraId="63322857" w14:textId="77777777" w:rsidR="002D1684" w:rsidRPr="00843214" w:rsidRDefault="002D1684" w:rsidP="002D1684">
      <w:pPr>
        <w:rPr>
          <w:rFonts w:ascii="Times New Roman" w:hAnsi="Times New Roman" w:cs="Times New Roman"/>
          <w:color w:val="4F81BD" w:themeColor="accent1"/>
          <w:sz w:val="24"/>
          <w:szCs w:val="24"/>
        </w:rPr>
      </w:pPr>
      <w:r w:rsidRPr="00843214">
        <w:rPr>
          <w:rFonts w:ascii="Times New Roman" w:hAnsi="Times New Roman" w:cs="Times New Roman"/>
          <w:color w:val="4F81BD" w:themeColor="accent1"/>
          <w:sz w:val="24"/>
          <w:szCs w:val="24"/>
        </w:rPr>
        <w:t>(As amended by the Resolution of the Board of Directors of OJSC “Aiyl Bank” dated December 28, 2022, No. 63/3)</w:t>
      </w:r>
    </w:p>
    <w:p w14:paraId="16428CCA" w14:textId="77777777" w:rsidR="00291090" w:rsidRPr="00291090" w:rsidRDefault="00291090" w:rsidP="00291090">
      <w:pPr>
        <w:rPr>
          <w:rFonts w:ascii="Times New Roman" w:hAnsi="Times New Roman" w:cs="Times New Roman"/>
          <w:sz w:val="24"/>
          <w:szCs w:val="24"/>
        </w:rPr>
      </w:pPr>
    </w:p>
    <w:p w14:paraId="121FEC8A" w14:textId="77777777" w:rsidR="00291090" w:rsidRPr="00291090" w:rsidRDefault="00291090" w:rsidP="00291090">
      <w:pPr>
        <w:rPr>
          <w:rFonts w:ascii="Times New Roman" w:hAnsi="Times New Roman" w:cs="Times New Roman"/>
          <w:b/>
          <w:bCs/>
          <w:sz w:val="24"/>
          <w:szCs w:val="24"/>
        </w:rPr>
      </w:pPr>
      <w:r w:rsidRPr="00291090">
        <w:rPr>
          <w:rFonts w:ascii="Times New Roman" w:hAnsi="Times New Roman" w:cs="Times New Roman"/>
          <w:b/>
          <w:bCs/>
          <w:sz w:val="24"/>
          <w:szCs w:val="24"/>
        </w:rPr>
        <w:t>CHAPTER V. PRE-JUDICIAL MEASURES FOR LOAN/FINANCING RECOVERY</w:t>
      </w:r>
    </w:p>
    <w:p w14:paraId="6DC224B9" w14:textId="77777777" w:rsidR="00291090" w:rsidRPr="00291090" w:rsidRDefault="00291090" w:rsidP="00291090">
      <w:pPr>
        <w:rPr>
          <w:rFonts w:ascii="Times New Roman" w:hAnsi="Times New Roman" w:cs="Times New Roman"/>
          <w:sz w:val="24"/>
          <w:szCs w:val="24"/>
        </w:rPr>
      </w:pPr>
      <w:r w:rsidRPr="00807B68">
        <w:rPr>
          <w:rFonts w:ascii="Times New Roman" w:hAnsi="Times New Roman" w:cs="Times New Roman"/>
          <w:b/>
          <w:bCs/>
          <w:sz w:val="24"/>
          <w:szCs w:val="24"/>
        </w:rPr>
        <w:t>5.1</w:t>
      </w:r>
      <w:r w:rsidRPr="00291090">
        <w:rPr>
          <w:rFonts w:ascii="Times New Roman" w:hAnsi="Times New Roman" w:cs="Times New Roman"/>
          <w:sz w:val="24"/>
          <w:szCs w:val="24"/>
        </w:rPr>
        <w:t xml:space="preserve"> The primary procedure for conducting pre-judicial measures is regulated by the Bank’s internal regulations.</w:t>
      </w:r>
    </w:p>
    <w:p w14:paraId="4C07CF0F"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(As amended by the Resolution of the Board of Directors of OJSC “Aiyl Bank” dated December 28, 2022, No. 63/3)</w:t>
      </w:r>
    </w:p>
    <w:p w14:paraId="629F440B" w14:textId="77777777" w:rsidR="00291090" w:rsidRPr="00291090" w:rsidRDefault="00291090" w:rsidP="00291090">
      <w:pPr>
        <w:rPr>
          <w:rFonts w:ascii="Times New Roman" w:hAnsi="Times New Roman" w:cs="Times New Roman"/>
          <w:sz w:val="24"/>
          <w:szCs w:val="24"/>
        </w:rPr>
      </w:pPr>
      <w:r w:rsidRPr="00807B68">
        <w:rPr>
          <w:rFonts w:ascii="Times New Roman" w:hAnsi="Times New Roman" w:cs="Times New Roman"/>
          <w:b/>
          <w:bCs/>
          <w:sz w:val="24"/>
          <w:szCs w:val="24"/>
        </w:rPr>
        <w:t>5.2</w:t>
      </w:r>
      <w:r w:rsidRPr="00291090">
        <w:rPr>
          <w:rFonts w:ascii="Times New Roman" w:hAnsi="Times New Roman" w:cs="Times New Roman"/>
          <w:sz w:val="24"/>
          <w:szCs w:val="24"/>
        </w:rPr>
        <w:t xml:space="preserve"> The main procedures for implementing pre-judicial debt recovery measures include:</w:t>
      </w:r>
    </w:p>
    <w:p w14:paraId="130252C9"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Sending notifications;</w:t>
      </w:r>
    </w:p>
    <w:p w14:paraId="5B2E9500"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Restructuring of the loan/financing;</w:t>
      </w:r>
    </w:p>
    <w:p w14:paraId="251712BE"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Joint efforts to sell the borrower’s/client’s finished products, other assets, or pledged collateral;</w:t>
      </w:r>
    </w:p>
    <w:p w14:paraId="0136D287"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Engaging guarantors/sureties;</w:t>
      </w:r>
    </w:p>
    <w:p w14:paraId="2F372DCE"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Voluntary transfer of pledged property to the Bank’s balance sheet;</w:t>
      </w:r>
    </w:p>
    <w:p w14:paraId="72E50A7B"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Other lawful measures.</w:t>
      </w:r>
    </w:p>
    <w:p w14:paraId="57D0036F" w14:textId="77777777" w:rsidR="00291090" w:rsidRPr="00291090" w:rsidRDefault="00291090" w:rsidP="00291090">
      <w:pPr>
        <w:rPr>
          <w:rFonts w:ascii="Times New Roman" w:hAnsi="Times New Roman" w:cs="Times New Roman"/>
          <w:sz w:val="24"/>
          <w:szCs w:val="24"/>
        </w:rPr>
      </w:pPr>
      <w:r w:rsidRPr="00807B68">
        <w:rPr>
          <w:rFonts w:ascii="Times New Roman" w:hAnsi="Times New Roman" w:cs="Times New Roman"/>
          <w:b/>
          <w:bCs/>
          <w:sz w:val="24"/>
          <w:szCs w:val="24"/>
        </w:rPr>
        <w:t>5.3</w:t>
      </w:r>
      <w:r w:rsidRPr="00291090">
        <w:rPr>
          <w:rFonts w:ascii="Times New Roman" w:hAnsi="Times New Roman" w:cs="Times New Roman"/>
          <w:sz w:val="24"/>
          <w:szCs w:val="24"/>
        </w:rPr>
        <w:t xml:space="preserve"> When a loan/financing becomes problematic, the best option for the Bank is to collaborate with the borrower/client to develop a specific action plan for repaying the problem loan/financing. However, this option is only feasible if the borrower/client is genuinely interested in resolving the situation, is deemed trustworthy, and has the potential to restore profitability.</w:t>
      </w:r>
    </w:p>
    <w:p w14:paraId="6220AD63"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 xml:space="preserve">5.4 The plan may include the sale of the borrower’s/client’s assets, the development of a debt repayment schedule/payment plan, and other measures. A key component of this plan may involve settling the client’s debt through secondary sources of security, such as the realization of collateral </w:t>
      </w:r>
      <w:r w:rsidRPr="00291090">
        <w:rPr>
          <w:rFonts w:ascii="Times New Roman" w:hAnsi="Times New Roman" w:cs="Times New Roman"/>
          <w:sz w:val="24"/>
          <w:szCs w:val="24"/>
        </w:rPr>
        <w:lastRenderedPageBreak/>
        <w:t>and claims against guarantors (sureties). The plan should also consider various combinations of all possible debt repayment options.</w:t>
      </w:r>
    </w:p>
    <w:p w14:paraId="1AA896AB" w14:textId="77777777" w:rsidR="00291090" w:rsidRPr="00291090" w:rsidRDefault="00291090" w:rsidP="00291090">
      <w:pPr>
        <w:rPr>
          <w:rFonts w:ascii="Times New Roman" w:hAnsi="Times New Roman" w:cs="Times New Roman"/>
          <w:sz w:val="24"/>
          <w:szCs w:val="24"/>
        </w:rPr>
      </w:pPr>
      <w:r w:rsidRPr="00E60A62">
        <w:rPr>
          <w:rFonts w:ascii="Times New Roman" w:hAnsi="Times New Roman" w:cs="Times New Roman"/>
          <w:b/>
          <w:bCs/>
          <w:color w:val="000000" w:themeColor="text1"/>
          <w:sz w:val="24"/>
          <w:szCs w:val="24"/>
        </w:rPr>
        <w:t>5.5</w:t>
      </w:r>
      <w:r w:rsidRPr="00E60A62">
        <w:rPr>
          <w:rFonts w:ascii="Times New Roman" w:hAnsi="Times New Roman" w:cs="Times New Roman"/>
          <w:color w:val="000000" w:themeColor="text1"/>
          <w:sz w:val="24"/>
          <w:szCs w:val="24"/>
        </w:rPr>
        <w:t xml:space="preserve"> </w:t>
      </w:r>
      <w:r w:rsidRPr="00291090">
        <w:rPr>
          <w:rFonts w:ascii="Times New Roman" w:hAnsi="Times New Roman" w:cs="Times New Roman"/>
          <w:sz w:val="24"/>
          <w:szCs w:val="24"/>
        </w:rPr>
        <w:t>In the event of violations by the borrower/client of the terms of the loan agreement/financing agreement or pledge agreement (e.g., misuse of funds, failure to meet obligations for payment of interest/markups/income from Islamic financing products (IFP) and part of the principal, deterioration of the collateral’s condition, etc.), penalties are applied as stipulated in the loan agreement/financing agreement and/or by decision of the authorized Credit Committee/Islamic Window Financing Committee. Additionally, the right to demand early repayment of the loan/financing amount and all related payments may be exercised.</w:t>
      </w:r>
    </w:p>
    <w:p w14:paraId="50A8E095" w14:textId="77777777" w:rsidR="00291090" w:rsidRPr="00291090" w:rsidRDefault="00291090" w:rsidP="00291090">
      <w:pPr>
        <w:rPr>
          <w:rFonts w:ascii="Times New Roman" w:hAnsi="Times New Roman" w:cs="Times New Roman"/>
          <w:sz w:val="24"/>
          <w:szCs w:val="24"/>
        </w:rPr>
      </w:pPr>
      <w:r w:rsidRPr="00E60A62">
        <w:rPr>
          <w:rFonts w:ascii="Times New Roman" w:hAnsi="Times New Roman" w:cs="Times New Roman"/>
          <w:b/>
          <w:bCs/>
          <w:sz w:val="24"/>
          <w:szCs w:val="24"/>
        </w:rPr>
        <w:t>5.6</w:t>
      </w:r>
      <w:r w:rsidRPr="00E60A62">
        <w:rPr>
          <w:rFonts w:ascii="Times New Roman" w:hAnsi="Times New Roman" w:cs="Times New Roman"/>
          <w:sz w:val="24"/>
          <w:szCs w:val="24"/>
        </w:rPr>
        <w:t xml:space="preserve"> </w:t>
      </w:r>
      <w:r w:rsidRPr="00291090">
        <w:rPr>
          <w:rFonts w:ascii="Times New Roman" w:hAnsi="Times New Roman" w:cs="Times New Roman"/>
          <w:sz w:val="24"/>
          <w:szCs w:val="24"/>
        </w:rPr>
        <w:t>The relevant departments of the Bank must continuously monitor borrowers/clients, analyze their financial and economic condition, identify signs of distress, and, upon detecting a problem loan/financing, take measures to prevent losses, such as:</w:t>
      </w:r>
    </w:p>
    <w:p w14:paraId="79BC9263"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Additional verification of the existence and condition of collateral;</w:t>
      </w:r>
    </w:p>
    <w:p w14:paraId="5248CD22"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Securing additional collateral;</w:t>
      </w:r>
    </w:p>
    <w:p w14:paraId="4DF28437"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Holding cautionary discussions;</w:t>
      </w:r>
    </w:p>
    <w:p w14:paraId="6BC71D47"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Suspending further disbursements under the credit line/financing line until the situation is fully clarified;</w:t>
      </w:r>
    </w:p>
    <w:p w14:paraId="50BB0AD4"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Conducting a more detailed and systematic study of the borrower/client and the industry in which the borrowed funds were invested;</w:t>
      </w:r>
    </w:p>
    <w:p w14:paraId="329B3F5B"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Classifying loans/financing;</w:t>
      </w:r>
    </w:p>
    <w:p w14:paraId="08DA65D2"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Increasing provisions;</w:t>
      </w:r>
    </w:p>
    <w:p w14:paraId="3D80E203" w14:textId="77777777" w:rsidR="00291090" w:rsidRPr="00291090" w:rsidRDefault="00291090" w:rsidP="00291090">
      <w:pPr>
        <w:rPr>
          <w:rFonts w:ascii="Times New Roman" w:hAnsi="Times New Roman" w:cs="Times New Roman"/>
          <w:sz w:val="24"/>
          <w:szCs w:val="24"/>
        </w:rPr>
      </w:pPr>
      <w:r w:rsidRPr="00291090">
        <w:rPr>
          <w:rFonts w:ascii="Times New Roman" w:hAnsi="Times New Roman" w:cs="Times New Roman"/>
          <w:sz w:val="24"/>
          <w:szCs w:val="24"/>
        </w:rPr>
        <w:tab/>
        <w:t>•</w:t>
      </w:r>
      <w:r w:rsidRPr="00291090">
        <w:rPr>
          <w:rFonts w:ascii="Times New Roman" w:hAnsi="Times New Roman" w:cs="Times New Roman"/>
          <w:sz w:val="24"/>
          <w:szCs w:val="24"/>
        </w:rPr>
        <w:tab/>
        <w:t>Other protective measures.</w:t>
      </w:r>
    </w:p>
    <w:p w14:paraId="146B53D3" w14:textId="77777777" w:rsidR="00291090" w:rsidRPr="00843214" w:rsidRDefault="00291090" w:rsidP="00291090">
      <w:pPr>
        <w:rPr>
          <w:rFonts w:ascii="Times New Roman" w:hAnsi="Times New Roman" w:cs="Times New Roman"/>
          <w:color w:val="4F81BD" w:themeColor="accent1"/>
          <w:sz w:val="24"/>
          <w:szCs w:val="24"/>
        </w:rPr>
      </w:pPr>
      <w:r w:rsidRPr="00843214">
        <w:rPr>
          <w:rFonts w:ascii="Times New Roman" w:hAnsi="Times New Roman" w:cs="Times New Roman"/>
          <w:color w:val="4F81BD" w:themeColor="accent1"/>
          <w:sz w:val="24"/>
          <w:szCs w:val="24"/>
        </w:rPr>
        <w:t>(As amended by the Resolution of the Board of Directors of OJSC “Aiyl Bank” dated December 28, 2022, No. 63/3)</w:t>
      </w:r>
    </w:p>
    <w:p w14:paraId="747B8B1C" w14:textId="77777777" w:rsidR="00291090" w:rsidRPr="00291090" w:rsidRDefault="00291090" w:rsidP="00291090">
      <w:pPr>
        <w:rPr>
          <w:rFonts w:ascii="Times New Roman" w:hAnsi="Times New Roman" w:cs="Times New Roman"/>
          <w:sz w:val="24"/>
          <w:szCs w:val="24"/>
        </w:rPr>
      </w:pPr>
    </w:p>
    <w:p w14:paraId="4294999F" w14:textId="77777777" w:rsidR="00E53C25" w:rsidRPr="00E53C25" w:rsidRDefault="00E53C25" w:rsidP="00E53C25">
      <w:pPr>
        <w:rPr>
          <w:rFonts w:ascii="Times New Roman" w:hAnsi="Times New Roman" w:cs="Times New Roman"/>
          <w:sz w:val="24"/>
          <w:szCs w:val="24"/>
        </w:rPr>
      </w:pPr>
    </w:p>
    <w:p w14:paraId="59D64AB1" w14:textId="77777777" w:rsidR="00E53C25" w:rsidRPr="00FE6F43" w:rsidRDefault="00E53C25" w:rsidP="00E53C25">
      <w:pPr>
        <w:rPr>
          <w:rFonts w:ascii="Times New Roman" w:hAnsi="Times New Roman" w:cs="Times New Roman"/>
          <w:b/>
          <w:bCs/>
          <w:sz w:val="24"/>
          <w:szCs w:val="24"/>
        </w:rPr>
      </w:pPr>
      <w:r w:rsidRPr="00FE6F43">
        <w:rPr>
          <w:rFonts w:ascii="Times New Roman" w:hAnsi="Times New Roman" w:cs="Times New Roman"/>
          <w:b/>
          <w:bCs/>
          <w:sz w:val="24"/>
          <w:szCs w:val="24"/>
        </w:rPr>
        <w:t>CHAPTER VI. RESTRUCTURING</w:t>
      </w:r>
    </w:p>
    <w:p w14:paraId="0CFC51A7" w14:textId="77777777" w:rsidR="00E53C25" w:rsidRPr="00E53C25" w:rsidRDefault="00E53C25" w:rsidP="00E53C25">
      <w:pPr>
        <w:rPr>
          <w:rFonts w:ascii="Times New Roman" w:hAnsi="Times New Roman" w:cs="Times New Roman"/>
          <w:sz w:val="24"/>
          <w:szCs w:val="24"/>
        </w:rPr>
      </w:pPr>
      <w:r w:rsidRPr="00807B68">
        <w:rPr>
          <w:rFonts w:ascii="Times New Roman" w:hAnsi="Times New Roman" w:cs="Times New Roman"/>
          <w:b/>
          <w:bCs/>
          <w:sz w:val="24"/>
          <w:szCs w:val="24"/>
        </w:rPr>
        <w:t>6.1</w:t>
      </w:r>
      <w:r w:rsidRPr="00E53C25">
        <w:rPr>
          <w:rFonts w:ascii="Times New Roman" w:hAnsi="Times New Roman" w:cs="Times New Roman"/>
          <w:sz w:val="24"/>
          <w:szCs w:val="24"/>
        </w:rPr>
        <w:t xml:space="preserve"> Restructuring of a loan/financing, as a primary method for banks to address problem loans/financing, may be carried out by amending or supplementing the terms of existing agreements. This can involve granting concessions to the borrower/client due to their financial deterioration.</w:t>
      </w:r>
    </w:p>
    <w:p w14:paraId="46D535FB" w14:textId="77777777" w:rsidR="00E53C25" w:rsidRPr="00E53C25" w:rsidRDefault="00E53C25" w:rsidP="00E53C25">
      <w:pPr>
        <w:rPr>
          <w:rFonts w:ascii="Times New Roman" w:hAnsi="Times New Roman" w:cs="Times New Roman"/>
          <w:sz w:val="24"/>
          <w:szCs w:val="24"/>
        </w:rPr>
      </w:pPr>
      <w:r w:rsidRPr="00FE6F43">
        <w:rPr>
          <w:rFonts w:ascii="Times New Roman" w:hAnsi="Times New Roman" w:cs="Times New Roman"/>
          <w:b/>
          <w:bCs/>
          <w:sz w:val="24"/>
          <w:szCs w:val="24"/>
        </w:rPr>
        <w:t>6.2</w:t>
      </w:r>
      <w:r w:rsidRPr="00E53C25">
        <w:rPr>
          <w:rFonts w:ascii="Times New Roman" w:hAnsi="Times New Roman" w:cs="Times New Roman"/>
          <w:sz w:val="24"/>
          <w:szCs w:val="24"/>
        </w:rPr>
        <w:t xml:space="preserve"> The Bank restructures loans/financing to minimize potential losses when clients face financial difficulties due to economic, legal, or other reasons. This process is regarded as a means to increase the likelihood of repaying the remaining debt.</w:t>
      </w:r>
    </w:p>
    <w:p w14:paraId="7C84AE81" w14:textId="77777777" w:rsidR="00E53C25" w:rsidRPr="00E53C25" w:rsidRDefault="00E53C25" w:rsidP="00E53C25">
      <w:pPr>
        <w:rPr>
          <w:rFonts w:ascii="Times New Roman" w:hAnsi="Times New Roman" w:cs="Times New Roman"/>
          <w:sz w:val="24"/>
          <w:szCs w:val="24"/>
        </w:rPr>
      </w:pPr>
      <w:r w:rsidRPr="00FE6F43">
        <w:rPr>
          <w:rFonts w:ascii="Times New Roman" w:hAnsi="Times New Roman" w:cs="Times New Roman"/>
          <w:b/>
          <w:bCs/>
          <w:sz w:val="24"/>
          <w:szCs w:val="24"/>
        </w:rPr>
        <w:t>6.3</w:t>
      </w:r>
      <w:r w:rsidRPr="00E53C25">
        <w:rPr>
          <w:rFonts w:ascii="Times New Roman" w:hAnsi="Times New Roman" w:cs="Times New Roman"/>
          <w:sz w:val="24"/>
          <w:szCs w:val="24"/>
        </w:rPr>
        <w:t xml:space="preserve"> Examples of loan/financing restructuring include: offering the client more favorable repayment terms that deviate from the Bank’s standard practices, partial write-off of the principal debt and/or interest/markups/income from Islamic financing products (IFP), reduction of the interest rate (including suspension of interest/markup/IFP income accrual), and/or extension of the repayment terms for the principal amount and/or interest/markups/IFP income.</w:t>
      </w:r>
    </w:p>
    <w:p w14:paraId="09278048" w14:textId="77777777" w:rsidR="00E53C25" w:rsidRPr="00E53C25" w:rsidRDefault="00E53C25" w:rsidP="00E53C25">
      <w:pPr>
        <w:rPr>
          <w:rFonts w:ascii="Times New Roman" w:hAnsi="Times New Roman" w:cs="Times New Roman"/>
          <w:sz w:val="24"/>
          <w:szCs w:val="24"/>
        </w:rPr>
      </w:pPr>
      <w:r w:rsidRPr="00E60A62">
        <w:rPr>
          <w:rFonts w:ascii="Times New Roman" w:hAnsi="Times New Roman" w:cs="Times New Roman"/>
          <w:b/>
          <w:bCs/>
          <w:sz w:val="24"/>
          <w:szCs w:val="24"/>
        </w:rPr>
        <w:t>6.4</w:t>
      </w:r>
      <w:r w:rsidRPr="00E53C25">
        <w:rPr>
          <w:rFonts w:ascii="Times New Roman" w:hAnsi="Times New Roman" w:cs="Times New Roman"/>
          <w:sz w:val="24"/>
          <w:szCs w:val="24"/>
        </w:rPr>
        <w:t xml:space="preserve"> Extension (prolongation) and deferral of scheduled payments are integral components of restructuring. However, changes or deferrals of scheduled loan/financing payments that are not related to the borrower’s/client’s financial deterioration do not qualify as restructuring.</w:t>
      </w:r>
    </w:p>
    <w:p w14:paraId="4B70EF8C" w14:textId="77777777" w:rsidR="00E53C25" w:rsidRPr="00E53C25" w:rsidRDefault="00E53C25" w:rsidP="00E53C25">
      <w:pPr>
        <w:rPr>
          <w:rFonts w:ascii="Times New Roman" w:hAnsi="Times New Roman" w:cs="Times New Roman"/>
          <w:sz w:val="24"/>
          <w:szCs w:val="24"/>
        </w:rPr>
      </w:pPr>
      <w:r w:rsidRPr="00E60A62">
        <w:rPr>
          <w:rFonts w:ascii="Times New Roman" w:hAnsi="Times New Roman" w:cs="Times New Roman"/>
          <w:b/>
          <w:bCs/>
          <w:sz w:val="24"/>
          <w:szCs w:val="24"/>
        </w:rPr>
        <w:t>6.5</w:t>
      </w:r>
      <w:r w:rsidRPr="00E53C25">
        <w:rPr>
          <w:rFonts w:ascii="Times New Roman" w:hAnsi="Times New Roman" w:cs="Times New Roman"/>
          <w:sz w:val="24"/>
          <w:szCs w:val="24"/>
        </w:rPr>
        <w:t xml:space="preserve"> The decision to restructure a loan/financing is made by the relevant Credit Committee/Islamic Window Financing Committee.</w:t>
      </w:r>
    </w:p>
    <w:p w14:paraId="46A299D6" w14:textId="77777777" w:rsidR="00E53C25" w:rsidRPr="00E53C25" w:rsidRDefault="00E53C25" w:rsidP="00E53C25">
      <w:pPr>
        <w:rPr>
          <w:rFonts w:ascii="Times New Roman" w:hAnsi="Times New Roman" w:cs="Times New Roman"/>
          <w:sz w:val="24"/>
          <w:szCs w:val="24"/>
        </w:rPr>
      </w:pPr>
      <w:r w:rsidRPr="00843214">
        <w:rPr>
          <w:rFonts w:ascii="Times New Roman" w:hAnsi="Times New Roman" w:cs="Times New Roman"/>
          <w:b/>
          <w:bCs/>
          <w:sz w:val="24"/>
          <w:szCs w:val="24"/>
        </w:rPr>
        <w:t>6.6</w:t>
      </w:r>
      <w:r w:rsidRPr="00E53C25">
        <w:rPr>
          <w:rFonts w:ascii="Times New Roman" w:hAnsi="Times New Roman" w:cs="Times New Roman"/>
          <w:sz w:val="24"/>
          <w:szCs w:val="24"/>
        </w:rPr>
        <w:t xml:space="preserve"> Restructuring of a loan/financing may be applied in the following cases:</w:t>
      </w:r>
    </w:p>
    <w:p w14:paraId="66F4879F"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lastRenderedPageBreak/>
        <w:tab/>
        <w:t>•</w:t>
      </w:r>
      <w:r w:rsidRPr="00E53C25">
        <w:rPr>
          <w:rFonts w:ascii="Times New Roman" w:hAnsi="Times New Roman" w:cs="Times New Roman"/>
          <w:sz w:val="24"/>
          <w:szCs w:val="24"/>
        </w:rPr>
        <w:tab/>
        <w:t>Force majeure situations (natural disasters, epidemics, military actions, or other events not caused by the client);</w:t>
      </w:r>
    </w:p>
    <w:p w14:paraId="4E03D9A5"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w:t>
      </w:r>
      <w:r w:rsidRPr="00E53C25">
        <w:rPr>
          <w:rFonts w:ascii="Times New Roman" w:hAnsi="Times New Roman" w:cs="Times New Roman"/>
          <w:sz w:val="24"/>
          <w:szCs w:val="24"/>
        </w:rPr>
        <w:tab/>
        <w:t>Death of the borrower/client, in which case the borrower’s/client’s heir or relative may apply to the Bank for restructuring;</w:t>
      </w:r>
    </w:p>
    <w:p w14:paraId="04C16497"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w:t>
      </w:r>
      <w:r w:rsidRPr="00E53C25">
        <w:rPr>
          <w:rFonts w:ascii="Times New Roman" w:hAnsi="Times New Roman" w:cs="Times New Roman"/>
          <w:sz w:val="24"/>
          <w:szCs w:val="24"/>
        </w:rPr>
        <w:tab/>
        <w:t>Criminal prosecution of the borrower/client resulting in imprisonment, in which case a relative of the borrower/client may apply to the Bank for restructuring;</w:t>
      </w:r>
    </w:p>
    <w:p w14:paraId="0A3C9993"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w:t>
      </w:r>
      <w:r w:rsidRPr="00E53C25">
        <w:rPr>
          <w:rFonts w:ascii="Times New Roman" w:hAnsi="Times New Roman" w:cs="Times New Roman"/>
          <w:sz w:val="24"/>
          <w:szCs w:val="24"/>
        </w:rPr>
        <w:tab/>
        <w:t>Health condition of the borrower/client (serious illness) that may disrupt the cash flow of their business or the source of funds used to repay the loan/financing;</w:t>
      </w:r>
    </w:p>
    <w:p w14:paraId="51DC5007"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w:t>
      </w:r>
      <w:r w:rsidRPr="00E53C25">
        <w:rPr>
          <w:rFonts w:ascii="Times New Roman" w:hAnsi="Times New Roman" w:cs="Times New Roman"/>
          <w:sz w:val="24"/>
          <w:szCs w:val="24"/>
        </w:rPr>
        <w:tab/>
        <w:t>Other reasons leading to financial difficulties for the borrower/client, substantiated by a relevant document.</w:t>
      </w:r>
    </w:p>
    <w:p w14:paraId="0BF6FC28" w14:textId="77777777" w:rsidR="00E53C25" w:rsidRPr="00E53C25" w:rsidRDefault="00E53C25" w:rsidP="00E53C25">
      <w:pPr>
        <w:rPr>
          <w:rFonts w:ascii="Times New Roman" w:hAnsi="Times New Roman" w:cs="Times New Roman"/>
          <w:sz w:val="24"/>
          <w:szCs w:val="24"/>
        </w:rPr>
      </w:pPr>
      <w:r w:rsidRPr="00843214">
        <w:rPr>
          <w:rFonts w:ascii="Times New Roman" w:hAnsi="Times New Roman" w:cs="Times New Roman"/>
          <w:b/>
          <w:bCs/>
          <w:sz w:val="24"/>
          <w:szCs w:val="24"/>
        </w:rPr>
        <w:t>6.7</w:t>
      </w:r>
      <w:r w:rsidRPr="00E53C25">
        <w:rPr>
          <w:rFonts w:ascii="Times New Roman" w:hAnsi="Times New Roman" w:cs="Times New Roman"/>
          <w:sz w:val="24"/>
          <w:szCs w:val="24"/>
        </w:rPr>
        <w:t xml:space="preserve"> A loan/financing may be restructured no more than twice within the term of a single active loan/financing for a borrower/client. If it is deemed appropriate to restructure a loan more than twice, the matter is reviewed by the Small Credit Committee or the Credit Committee/Islamic Window Financing Committee of the Bank, within the established limit.</w:t>
      </w:r>
    </w:p>
    <w:p w14:paraId="1D343551"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(As amended by the Resolution of the Board of Directors of OJSC “Aiyl Bank” dated July 2, 2021, No. 34/13; this resolution is effective until December 31, 2021)</w:t>
      </w:r>
    </w:p>
    <w:p w14:paraId="76EE3366"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6.8 The borrower/client of the Bank or another interested party may apply to the relevant Bank department regarding the restructuring of loan/financing debt (including requests for prolongation or deferral of scheduled payments) by submitting a written application in the cases outlined in paragraph 6.6.</w:t>
      </w:r>
    </w:p>
    <w:p w14:paraId="2B36BB21" w14:textId="77777777" w:rsidR="00E53C25" w:rsidRPr="00E53C25" w:rsidRDefault="00E53C25" w:rsidP="00E53C25">
      <w:pPr>
        <w:rPr>
          <w:rFonts w:ascii="Times New Roman" w:hAnsi="Times New Roman" w:cs="Times New Roman"/>
          <w:sz w:val="24"/>
          <w:szCs w:val="24"/>
        </w:rPr>
      </w:pPr>
      <w:r w:rsidRPr="00E60A62">
        <w:rPr>
          <w:rFonts w:ascii="Times New Roman" w:hAnsi="Times New Roman" w:cs="Times New Roman"/>
          <w:b/>
          <w:bCs/>
          <w:sz w:val="24"/>
          <w:szCs w:val="24"/>
        </w:rPr>
        <w:t>6.9</w:t>
      </w:r>
      <w:r w:rsidRPr="00E53C25">
        <w:rPr>
          <w:rFonts w:ascii="Times New Roman" w:hAnsi="Times New Roman" w:cs="Times New Roman"/>
          <w:sz w:val="24"/>
          <w:szCs w:val="24"/>
        </w:rPr>
        <w:t xml:space="preserve"> The decision to restructure is based on the borrower’s/client’s application, or that of other persons specified in paragraph 6.6, accompanied by supporting documents and a conclusion from a specialist in the relevant department.</w:t>
      </w:r>
    </w:p>
    <w:p w14:paraId="6DB5AA31" w14:textId="77777777" w:rsidR="00E53C25" w:rsidRPr="00E53C25" w:rsidRDefault="00E53C25" w:rsidP="00E53C25">
      <w:pPr>
        <w:rPr>
          <w:rFonts w:ascii="Times New Roman" w:hAnsi="Times New Roman" w:cs="Times New Roman"/>
          <w:sz w:val="24"/>
          <w:szCs w:val="24"/>
        </w:rPr>
      </w:pPr>
      <w:r w:rsidRPr="00E60A62">
        <w:rPr>
          <w:rFonts w:ascii="Times New Roman" w:hAnsi="Times New Roman" w:cs="Times New Roman"/>
          <w:b/>
          <w:bCs/>
          <w:sz w:val="24"/>
          <w:szCs w:val="24"/>
        </w:rPr>
        <w:t>6.10</w:t>
      </w:r>
      <w:r w:rsidRPr="00E53C25">
        <w:rPr>
          <w:rFonts w:ascii="Times New Roman" w:hAnsi="Times New Roman" w:cs="Times New Roman"/>
          <w:sz w:val="24"/>
          <w:szCs w:val="24"/>
        </w:rPr>
        <w:t xml:space="preserve"> The client’s application must be submitted in writing, addressed to the Chairman of the Management Board/Deputy Chairman of the Management Board overseeing lending/branch director, and must include the following key points:</w:t>
      </w:r>
    </w:p>
    <w:p w14:paraId="6D4F0565" w14:textId="77777777" w:rsidR="00E53C25" w:rsidRPr="00E53C25" w:rsidRDefault="00E53C25" w:rsidP="00E53C25">
      <w:pPr>
        <w:rPr>
          <w:rFonts w:ascii="Times New Roman" w:hAnsi="Times New Roman" w:cs="Times New Roman"/>
          <w:sz w:val="24"/>
          <w:szCs w:val="24"/>
        </w:rPr>
      </w:pPr>
      <w:r w:rsidRPr="00843214">
        <w:rPr>
          <w:rFonts w:ascii="Times New Roman" w:hAnsi="Times New Roman" w:cs="Times New Roman"/>
          <w:color w:val="4F81BD" w:themeColor="accent1"/>
          <w:sz w:val="24"/>
          <w:szCs w:val="24"/>
        </w:rPr>
        <w:t>(As amended by the Resolution of the Board of Directors of OJSC “Aiyl Bank” dated January 11, 2024, No. 2/6)</w:t>
      </w:r>
    </w:p>
    <w:p w14:paraId="0B8EED9A"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1</w:t>
      </w:r>
      <w:r w:rsidRPr="00E53C25">
        <w:rPr>
          <w:rFonts w:ascii="Times New Roman" w:hAnsi="Times New Roman" w:cs="Times New Roman"/>
          <w:sz w:val="24"/>
          <w:szCs w:val="24"/>
        </w:rPr>
        <w:tab/>
        <w:t>Reasons and justification for restructuring;</w:t>
      </w:r>
    </w:p>
    <w:p w14:paraId="053DF4CE"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2</w:t>
      </w:r>
      <w:r w:rsidRPr="00E53C25">
        <w:rPr>
          <w:rFonts w:ascii="Times New Roman" w:hAnsi="Times New Roman" w:cs="Times New Roman"/>
          <w:sz w:val="24"/>
          <w:szCs w:val="24"/>
        </w:rPr>
        <w:tab/>
        <w:t>The term and amount of the loan/financing subject to restructuring;</w:t>
      </w:r>
    </w:p>
    <w:p w14:paraId="34E53DBB"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3</w:t>
      </w:r>
      <w:r w:rsidRPr="00E53C25">
        <w:rPr>
          <w:rFonts w:ascii="Times New Roman" w:hAnsi="Times New Roman" w:cs="Times New Roman"/>
          <w:sz w:val="24"/>
          <w:szCs w:val="24"/>
        </w:rPr>
        <w:tab/>
        <w:t>Collateral securing the loan/financing (in case of loss of the original collateral value or increased risks);</w:t>
      </w:r>
    </w:p>
    <w:p w14:paraId="597DFFEE"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ab/>
        <w:t>4</w:t>
      </w:r>
      <w:r w:rsidRPr="00E53C25">
        <w:rPr>
          <w:rFonts w:ascii="Times New Roman" w:hAnsi="Times New Roman" w:cs="Times New Roman"/>
          <w:sz w:val="24"/>
          <w:szCs w:val="24"/>
        </w:rPr>
        <w:tab/>
        <w:t>The borrower’s/client’s proposals for resolving the situation.</w:t>
      </w:r>
    </w:p>
    <w:p w14:paraId="51D034DC"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6.11 If the loan/financing is secured by collateral from third parties and/or involves guarantors, their consent to the restructuring is also required. Written consent must be submitted to the Credit Committee/Islamic Window Financing Committee along with the borrower’s/client’s application, or the application must be submitted jointly.</w:t>
      </w:r>
    </w:p>
    <w:p w14:paraId="3B88CF3D"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6.12 Upon a positive decision to restructure the loan/financing, an additional agreement is concluded to amend the terms of the loan agreement/financing agreement and/or pledge agreement.</w:t>
      </w:r>
    </w:p>
    <w:p w14:paraId="0A831F8B"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6.13 If the Credit Committee/Islamic Window Financing Committee denies the restructuring request, the applicants are sent a letter (notification) of refusal.</w:t>
      </w:r>
    </w:p>
    <w:p w14:paraId="635DDCCE" w14:textId="77777777" w:rsidR="00E53C25" w:rsidRPr="00E53C25" w:rsidRDefault="00E53C25" w:rsidP="00E53C25">
      <w:pPr>
        <w:rPr>
          <w:rFonts w:ascii="Times New Roman" w:hAnsi="Times New Roman" w:cs="Times New Roman"/>
          <w:sz w:val="24"/>
          <w:szCs w:val="24"/>
        </w:rPr>
      </w:pPr>
      <w:r w:rsidRPr="00E53C25">
        <w:rPr>
          <w:rFonts w:ascii="Times New Roman" w:hAnsi="Times New Roman" w:cs="Times New Roman"/>
          <w:sz w:val="24"/>
          <w:szCs w:val="24"/>
        </w:rPr>
        <w:t xml:space="preserve">6.14 Restructured loans/financing require special attention. The frequency of monitoring restructured loans/financing is determined by their classification category. The classification of restructured loans/financing is conducted in accordance with the Regulation on Monitoring and Classification of Loans of OJSC “Aiyl Bank”/Regulation on Monitoring and Classification of </w:t>
      </w:r>
      <w:r w:rsidRPr="00E53C25">
        <w:rPr>
          <w:rFonts w:ascii="Times New Roman" w:hAnsi="Times New Roman" w:cs="Times New Roman"/>
          <w:sz w:val="24"/>
          <w:szCs w:val="24"/>
        </w:rPr>
        <w:lastRenderedPageBreak/>
        <w:t>Assets and Corresponding Provisions for Potential Losses and Damages in Operations Conducted in Accordance with Islamic Banking and Financing Principles of OJSC “Aiyl Bank.”</w:t>
      </w:r>
    </w:p>
    <w:p w14:paraId="22ECA55A" w14:textId="77777777" w:rsidR="00E53C25" w:rsidRPr="00843214" w:rsidRDefault="00E53C25" w:rsidP="00E53C25">
      <w:pPr>
        <w:rPr>
          <w:rFonts w:ascii="Times New Roman" w:hAnsi="Times New Roman" w:cs="Times New Roman"/>
          <w:color w:val="4F81BD" w:themeColor="accent1"/>
          <w:sz w:val="24"/>
          <w:szCs w:val="24"/>
        </w:rPr>
      </w:pPr>
      <w:r w:rsidRPr="00843214">
        <w:rPr>
          <w:rFonts w:ascii="Times New Roman" w:hAnsi="Times New Roman" w:cs="Times New Roman"/>
          <w:color w:val="4F81BD" w:themeColor="accent1"/>
          <w:sz w:val="24"/>
          <w:szCs w:val="24"/>
        </w:rPr>
        <w:t>(As amended by the Resolution of the Board of Directors of OJSC “Aiyl Bank” dated December 28, 2022, No. 63/3)</w:t>
      </w:r>
    </w:p>
    <w:p w14:paraId="6B90315A" w14:textId="77777777" w:rsidR="00FE6F43" w:rsidRDefault="00FE6F43" w:rsidP="007906CD">
      <w:pPr>
        <w:rPr>
          <w:rFonts w:ascii="Times New Roman" w:hAnsi="Times New Roman" w:cs="Times New Roman"/>
          <w:sz w:val="24"/>
          <w:szCs w:val="24"/>
        </w:rPr>
      </w:pPr>
    </w:p>
    <w:p w14:paraId="15C24ABA" w14:textId="77777777" w:rsidR="007906CD" w:rsidRPr="007906CD" w:rsidRDefault="007906CD" w:rsidP="007906CD">
      <w:pPr>
        <w:rPr>
          <w:rFonts w:ascii="Times New Roman" w:hAnsi="Times New Roman" w:cs="Times New Roman"/>
          <w:b/>
          <w:bCs/>
          <w:sz w:val="24"/>
          <w:szCs w:val="24"/>
        </w:rPr>
      </w:pPr>
      <w:r w:rsidRPr="007906CD">
        <w:rPr>
          <w:rFonts w:ascii="Times New Roman" w:hAnsi="Times New Roman" w:cs="Times New Roman"/>
          <w:b/>
          <w:bCs/>
          <w:sz w:val="24"/>
          <w:szCs w:val="24"/>
        </w:rPr>
        <w:t>CHAPTER VII. DEATH OF THE BORROWER/CLIENT</w:t>
      </w:r>
    </w:p>
    <w:p w14:paraId="59B96CF4" w14:textId="77777777" w:rsidR="007906CD" w:rsidRPr="007906CD" w:rsidRDefault="007906CD" w:rsidP="007906CD">
      <w:pPr>
        <w:rPr>
          <w:rFonts w:ascii="Times New Roman" w:hAnsi="Times New Roman" w:cs="Times New Roman"/>
          <w:sz w:val="24"/>
          <w:szCs w:val="24"/>
        </w:rPr>
      </w:pPr>
      <w:r w:rsidRPr="00843214">
        <w:rPr>
          <w:rFonts w:ascii="Times New Roman" w:hAnsi="Times New Roman" w:cs="Times New Roman"/>
          <w:b/>
          <w:bCs/>
          <w:sz w:val="24"/>
          <w:szCs w:val="24"/>
        </w:rPr>
        <w:t>7.1.</w:t>
      </w:r>
      <w:r w:rsidRPr="007906CD">
        <w:rPr>
          <w:rFonts w:ascii="Times New Roman" w:hAnsi="Times New Roman" w:cs="Times New Roman"/>
          <w:sz w:val="24"/>
          <w:szCs w:val="24"/>
        </w:rPr>
        <w:t xml:space="preserve"> In the event of the death of a borrower/client who is an individual, an unscheduled monitoring of the deceased borrower’s/client’s business or household condition is conducted. Additionally, efforts are made with the borrower’s/client’s close relatives, pledgor, and guarantor to identify a potential heir to their property or legal successor, to whom all rights and obligations of the deceased (borrower/client) are transferred in accordance with the legislation of the Kyrgyz Republic.</w:t>
      </w:r>
    </w:p>
    <w:p w14:paraId="3995AD00" w14:textId="77777777" w:rsidR="007906CD" w:rsidRPr="007906CD" w:rsidRDefault="007906CD" w:rsidP="007906CD">
      <w:pPr>
        <w:rPr>
          <w:rFonts w:ascii="Times New Roman" w:hAnsi="Times New Roman" w:cs="Times New Roman"/>
          <w:sz w:val="24"/>
          <w:szCs w:val="24"/>
        </w:rPr>
      </w:pPr>
      <w:r w:rsidRPr="00E60A62">
        <w:rPr>
          <w:rFonts w:ascii="Times New Roman" w:hAnsi="Times New Roman" w:cs="Times New Roman"/>
          <w:b/>
          <w:bCs/>
          <w:sz w:val="24"/>
          <w:szCs w:val="24"/>
        </w:rPr>
        <w:t>7.2</w:t>
      </w:r>
      <w:r w:rsidRPr="007906CD">
        <w:rPr>
          <w:rFonts w:ascii="Times New Roman" w:hAnsi="Times New Roman" w:cs="Times New Roman"/>
          <w:sz w:val="24"/>
          <w:szCs w:val="24"/>
        </w:rPr>
        <w:t>. If the heir or any other third party who has assumed the borrower’s/client’s obligations repays the loan/financing without violating the terms of the loan agreement/financing agreement, such loan/financing shall not be considered a problem loan/financing. The credit history shall be treated as continuous and taken into account for any subsequent lending to that individual.</w:t>
      </w:r>
    </w:p>
    <w:p w14:paraId="3E1AA31B" w14:textId="77777777" w:rsidR="007906CD" w:rsidRDefault="007906CD" w:rsidP="007906CD">
      <w:pPr>
        <w:rPr>
          <w:rFonts w:ascii="Times New Roman" w:hAnsi="Times New Roman" w:cs="Times New Roman"/>
          <w:sz w:val="24"/>
          <w:szCs w:val="24"/>
        </w:rPr>
      </w:pPr>
      <w:r w:rsidRPr="00E60A62">
        <w:rPr>
          <w:rFonts w:ascii="Times New Roman" w:hAnsi="Times New Roman" w:cs="Times New Roman"/>
          <w:b/>
          <w:bCs/>
          <w:sz w:val="24"/>
          <w:szCs w:val="24"/>
        </w:rPr>
        <w:t>7.3</w:t>
      </w:r>
      <w:r w:rsidRPr="007906CD">
        <w:rPr>
          <w:rFonts w:ascii="Times New Roman" w:hAnsi="Times New Roman" w:cs="Times New Roman"/>
          <w:sz w:val="24"/>
          <w:szCs w:val="24"/>
        </w:rPr>
        <w:t>. In the event of refusal by the heir/legal successor to comply with the terms of the loan agreement/financing agreement/pledge agreement, or a breach thereof, the standard procedure for handling problem loans shall be applied in accordance with the Regulation on Working with Problem Loans of OJSC “Aiyl Bank” and the legisla</w:t>
      </w:r>
    </w:p>
    <w:p w14:paraId="1EF00EF0" w14:textId="77777777" w:rsidR="007906CD" w:rsidRPr="007906CD" w:rsidRDefault="007906CD" w:rsidP="007906CD">
      <w:pPr>
        <w:rPr>
          <w:rFonts w:ascii="Times New Roman" w:hAnsi="Times New Roman" w:cs="Times New Roman"/>
          <w:sz w:val="24"/>
          <w:szCs w:val="24"/>
        </w:rPr>
      </w:pPr>
      <w:r w:rsidRPr="007906CD">
        <w:rPr>
          <w:rFonts w:ascii="Times New Roman" w:hAnsi="Times New Roman" w:cs="Times New Roman"/>
          <w:sz w:val="24"/>
          <w:szCs w:val="24"/>
        </w:rPr>
        <w:t>tion of the Kyrgyz Republic.</w:t>
      </w:r>
    </w:p>
    <w:p w14:paraId="7A79D5A4" w14:textId="77777777" w:rsidR="007906CD" w:rsidRPr="007906CD" w:rsidRDefault="007906CD" w:rsidP="007906CD">
      <w:pPr>
        <w:rPr>
          <w:rFonts w:ascii="Times New Roman" w:hAnsi="Times New Roman" w:cs="Times New Roman"/>
          <w:sz w:val="24"/>
          <w:szCs w:val="24"/>
        </w:rPr>
      </w:pPr>
      <w:r w:rsidRPr="00843214">
        <w:rPr>
          <w:rFonts w:ascii="Times New Roman" w:hAnsi="Times New Roman" w:cs="Times New Roman"/>
          <w:b/>
          <w:bCs/>
          <w:sz w:val="24"/>
          <w:szCs w:val="24"/>
        </w:rPr>
        <w:t>7.4.</w:t>
      </w:r>
      <w:r w:rsidRPr="007906CD">
        <w:rPr>
          <w:rFonts w:ascii="Times New Roman" w:hAnsi="Times New Roman" w:cs="Times New Roman"/>
          <w:sz w:val="24"/>
          <w:szCs w:val="24"/>
        </w:rPr>
        <w:t xml:space="preserve"> If, in cases where the borrower/client has deceased, there is no property available for recovery and all legal measures to collect the debt have been exhausted, write-off procedures shall be carried out in accordance with this Policy, the Regulation on Working with Problem Loans of OJSC “Aiyl Bank,” and the regulatory legal acts of the National Bank of the Kyrgyz Republic.</w:t>
      </w:r>
    </w:p>
    <w:p w14:paraId="2F05E738" w14:textId="77777777" w:rsidR="007906CD" w:rsidRPr="00843214" w:rsidRDefault="007906CD" w:rsidP="007906CD">
      <w:pPr>
        <w:rPr>
          <w:rFonts w:ascii="Times New Roman" w:hAnsi="Times New Roman" w:cs="Times New Roman"/>
          <w:color w:val="4F81BD" w:themeColor="accent1"/>
          <w:sz w:val="24"/>
          <w:szCs w:val="24"/>
        </w:rPr>
      </w:pPr>
      <w:r w:rsidRPr="00843214">
        <w:rPr>
          <w:rFonts w:ascii="Times New Roman" w:hAnsi="Times New Roman" w:cs="Times New Roman"/>
          <w:color w:val="4F81BD" w:themeColor="accent1"/>
          <w:sz w:val="24"/>
          <w:szCs w:val="24"/>
        </w:rPr>
        <w:t>(As amended by the Resolution of the Board of Directors of OJSC “Aiyl Bank” dated December 28, 2022, No. 63/3)</w:t>
      </w:r>
    </w:p>
    <w:p w14:paraId="1786138C" w14:textId="77777777" w:rsidR="00627CCF" w:rsidRPr="007906CD" w:rsidRDefault="00627CCF" w:rsidP="007906CD">
      <w:pPr>
        <w:rPr>
          <w:rFonts w:ascii="Times New Roman" w:hAnsi="Times New Roman" w:cs="Times New Roman"/>
          <w:sz w:val="24"/>
          <w:szCs w:val="24"/>
        </w:rPr>
      </w:pPr>
    </w:p>
    <w:p w14:paraId="10F76297" w14:textId="77777777" w:rsidR="007906CD" w:rsidRPr="001F5948" w:rsidRDefault="007906CD" w:rsidP="007906CD">
      <w:pPr>
        <w:rPr>
          <w:rFonts w:ascii="Times New Roman" w:hAnsi="Times New Roman" w:cs="Times New Roman"/>
          <w:b/>
          <w:bCs/>
          <w:sz w:val="28"/>
          <w:szCs w:val="28"/>
        </w:rPr>
      </w:pPr>
      <w:r w:rsidRPr="001F5948">
        <w:rPr>
          <w:rFonts w:ascii="Times New Roman" w:hAnsi="Times New Roman" w:cs="Times New Roman"/>
          <w:b/>
          <w:bCs/>
          <w:sz w:val="28"/>
          <w:szCs w:val="28"/>
        </w:rPr>
        <w:t>CHAPTER VIII. JUDICIAL MEASURES</w:t>
      </w:r>
    </w:p>
    <w:p w14:paraId="7D8DF898" w14:textId="77777777" w:rsidR="007906CD" w:rsidRPr="007906CD" w:rsidRDefault="007906CD" w:rsidP="007906CD">
      <w:pPr>
        <w:rPr>
          <w:rFonts w:ascii="Times New Roman" w:hAnsi="Times New Roman" w:cs="Times New Roman"/>
          <w:sz w:val="24"/>
          <w:szCs w:val="24"/>
        </w:rPr>
      </w:pPr>
      <w:r w:rsidRPr="001F5948">
        <w:rPr>
          <w:rFonts w:ascii="Times New Roman" w:hAnsi="Times New Roman" w:cs="Times New Roman"/>
          <w:b/>
          <w:bCs/>
          <w:sz w:val="24"/>
          <w:szCs w:val="24"/>
        </w:rPr>
        <w:t>8.1</w:t>
      </w:r>
      <w:r w:rsidRPr="007906CD">
        <w:rPr>
          <w:rFonts w:ascii="Times New Roman" w:hAnsi="Times New Roman" w:cs="Times New Roman"/>
          <w:sz w:val="24"/>
          <w:szCs w:val="24"/>
        </w:rPr>
        <w:t xml:space="preserve"> If the Bank’s pre-judicial measures do not yield a positive outcome, the Bank is obliged to resort to judicial proceedings to enforce the recovery of the debt.</w:t>
      </w:r>
    </w:p>
    <w:p w14:paraId="4A86D2D5" w14:textId="77777777" w:rsidR="007906CD" w:rsidRPr="007906CD" w:rsidRDefault="007906CD" w:rsidP="007906CD">
      <w:pPr>
        <w:rPr>
          <w:rFonts w:ascii="Times New Roman" w:hAnsi="Times New Roman" w:cs="Times New Roman"/>
          <w:sz w:val="24"/>
          <w:szCs w:val="24"/>
        </w:rPr>
      </w:pPr>
      <w:r w:rsidRPr="001F5948">
        <w:rPr>
          <w:rFonts w:ascii="Times New Roman" w:hAnsi="Times New Roman" w:cs="Times New Roman"/>
          <w:b/>
          <w:bCs/>
          <w:sz w:val="24"/>
          <w:szCs w:val="24"/>
        </w:rPr>
        <w:t>8.2</w:t>
      </w:r>
      <w:r w:rsidRPr="007906CD">
        <w:rPr>
          <w:rFonts w:ascii="Times New Roman" w:hAnsi="Times New Roman" w:cs="Times New Roman"/>
          <w:sz w:val="24"/>
          <w:szCs w:val="24"/>
        </w:rPr>
        <w:t xml:space="preserve"> Initiating legal action is a compulsory measure applied when the borrower/pledgor/guarantor refuses to voluntarily fulfill their obligations or transfer equivalent property to the Bank.</w:t>
      </w:r>
    </w:p>
    <w:p w14:paraId="315319B6" w14:textId="77777777" w:rsidR="007906CD" w:rsidRPr="007906CD" w:rsidRDefault="007906CD" w:rsidP="007906CD">
      <w:pPr>
        <w:rPr>
          <w:rFonts w:ascii="Times New Roman" w:hAnsi="Times New Roman" w:cs="Times New Roman"/>
          <w:sz w:val="24"/>
          <w:szCs w:val="24"/>
        </w:rPr>
      </w:pPr>
      <w:r w:rsidRPr="007906CD">
        <w:rPr>
          <w:rFonts w:ascii="Times New Roman" w:hAnsi="Times New Roman" w:cs="Times New Roman"/>
          <w:sz w:val="24"/>
          <w:szCs w:val="24"/>
        </w:rPr>
        <w:t>8.3 (Excluded pursuant to the Resolution of the Board of Directors of OJSC “Aiyl Bank” dated September 13, 2017, No. 34/14)</w:t>
      </w:r>
    </w:p>
    <w:p w14:paraId="5C0E16E9" w14:textId="77777777" w:rsidR="007906CD" w:rsidRPr="007906CD" w:rsidRDefault="007906CD" w:rsidP="007906CD">
      <w:pPr>
        <w:rPr>
          <w:rFonts w:ascii="Times New Roman" w:hAnsi="Times New Roman" w:cs="Times New Roman"/>
          <w:sz w:val="24"/>
          <w:szCs w:val="24"/>
        </w:rPr>
      </w:pPr>
      <w:r w:rsidRPr="007906CD">
        <w:rPr>
          <w:rFonts w:ascii="Times New Roman" w:hAnsi="Times New Roman" w:cs="Times New Roman"/>
          <w:sz w:val="24"/>
          <w:szCs w:val="24"/>
        </w:rPr>
        <w:t>8.4 The enforced recovery of loan/financing debt is carried out in accordance with the Bank’s internal regulations on working with problem loans/financing and the legislation of the Kyrgyz Republic.</w:t>
      </w:r>
    </w:p>
    <w:p w14:paraId="2391C08A" w14:textId="77777777" w:rsidR="007906CD" w:rsidRPr="00627CCF" w:rsidRDefault="007906CD" w:rsidP="007906CD">
      <w:pPr>
        <w:rPr>
          <w:rFonts w:ascii="Times New Roman" w:hAnsi="Times New Roman" w:cs="Times New Roman"/>
          <w:color w:val="4F81BD" w:themeColor="accent1"/>
          <w:sz w:val="24"/>
          <w:szCs w:val="24"/>
        </w:rPr>
      </w:pPr>
      <w:r w:rsidRPr="00627CCF">
        <w:rPr>
          <w:rFonts w:ascii="Times New Roman" w:hAnsi="Times New Roman" w:cs="Times New Roman"/>
          <w:color w:val="4F81BD" w:themeColor="accent1"/>
          <w:sz w:val="24"/>
          <w:szCs w:val="24"/>
        </w:rPr>
        <w:t>(As amended by the Resolution of the Board of Directors of OJSC “Aiyl Bank” dated December 28, 2022, No. 63/3)</w:t>
      </w:r>
    </w:p>
    <w:p w14:paraId="29942415" w14:textId="77777777" w:rsidR="004F1C73" w:rsidRDefault="004F1C73" w:rsidP="004F1C73">
      <w:pPr>
        <w:rPr>
          <w:rFonts w:ascii="Times New Roman" w:hAnsi="Times New Roman" w:cs="Times New Roman"/>
          <w:sz w:val="24"/>
          <w:szCs w:val="24"/>
        </w:rPr>
      </w:pPr>
    </w:p>
    <w:p w14:paraId="33390B14" w14:textId="77777777" w:rsidR="001F5948" w:rsidRPr="004F1C73" w:rsidRDefault="001F5948" w:rsidP="004F1C73">
      <w:pPr>
        <w:rPr>
          <w:rFonts w:ascii="Times New Roman" w:hAnsi="Times New Roman" w:cs="Times New Roman"/>
          <w:sz w:val="24"/>
          <w:szCs w:val="24"/>
        </w:rPr>
      </w:pPr>
    </w:p>
    <w:p w14:paraId="2E6AC2C0" w14:textId="77777777" w:rsidR="004F1C73" w:rsidRPr="004F1C73" w:rsidRDefault="004F1C73" w:rsidP="004F1C73">
      <w:pPr>
        <w:rPr>
          <w:rFonts w:ascii="Times New Roman" w:hAnsi="Times New Roman" w:cs="Times New Roman"/>
          <w:b/>
          <w:bCs/>
          <w:sz w:val="24"/>
          <w:szCs w:val="24"/>
        </w:rPr>
      </w:pPr>
      <w:r w:rsidRPr="004F1C73">
        <w:rPr>
          <w:rFonts w:ascii="Times New Roman" w:hAnsi="Times New Roman" w:cs="Times New Roman"/>
          <w:b/>
          <w:bCs/>
          <w:sz w:val="24"/>
          <w:szCs w:val="24"/>
        </w:rPr>
        <w:t>CHAPTER IX. MANAGEMENT OF OTHER BANK PROPERTY</w:t>
      </w:r>
    </w:p>
    <w:p w14:paraId="50BE1A56"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 xml:space="preserve">9.1. Upon the acceptance of property onto the Bank’s balance sheet, efforts to sell it must commence immediately. The primary requirements for managing other Bank property, as well as </w:t>
      </w:r>
      <w:r w:rsidRPr="004F1C73">
        <w:rPr>
          <w:rFonts w:ascii="Times New Roman" w:hAnsi="Times New Roman" w:cs="Times New Roman"/>
          <w:sz w:val="24"/>
          <w:szCs w:val="24"/>
        </w:rPr>
        <w:lastRenderedPageBreak/>
        <w:t>the procedures for its monitoring and classification, are regulated by the Bank’s internal regulations on handling other property.</w:t>
      </w:r>
    </w:p>
    <w:p w14:paraId="2805463C" w14:textId="77777777" w:rsidR="004F1C73" w:rsidRPr="00627CCF" w:rsidRDefault="004F1C73" w:rsidP="004F1C73">
      <w:pPr>
        <w:rPr>
          <w:rFonts w:ascii="Times New Roman" w:hAnsi="Times New Roman" w:cs="Times New Roman"/>
          <w:color w:val="4F81BD" w:themeColor="accent1"/>
          <w:sz w:val="24"/>
          <w:szCs w:val="24"/>
        </w:rPr>
      </w:pPr>
      <w:r w:rsidRPr="00627CCF">
        <w:rPr>
          <w:rFonts w:ascii="Times New Roman" w:hAnsi="Times New Roman" w:cs="Times New Roman"/>
          <w:color w:val="4F81BD" w:themeColor="accent1"/>
          <w:sz w:val="24"/>
          <w:szCs w:val="24"/>
        </w:rPr>
        <w:t>(As amended by the Resolution of the Board of Directors of OJSC “Aiyl Bank” dated September 13, 2017, No. 34/14)</w:t>
      </w:r>
    </w:p>
    <w:p w14:paraId="3A51D594" w14:textId="77777777" w:rsidR="004F1C73" w:rsidRPr="004F1C73" w:rsidRDefault="004F1C73" w:rsidP="004F1C73">
      <w:pPr>
        <w:rPr>
          <w:rFonts w:ascii="Times New Roman" w:hAnsi="Times New Roman" w:cs="Times New Roman"/>
          <w:sz w:val="24"/>
          <w:szCs w:val="24"/>
        </w:rPr>
      </w:pPr>
    </w:p>
    <w:p w14:paraId="707B5DD0" w14:textId="77777777" w:rsidR="004F1C73" w:rsidRPr="004F1C73" w:rsidRDefault="004F1C73" w:rsidP="004F1C73">
      <w:pPr>
        <w:rPr>
          <w:rFonts w:ascii="Times New Roman" w:hAnsi="Times New Roman" w:cs="Times New Roman"/>
          <w:b/>
          <w:bCs/>
          <w:sz w:val="24"/>
          <w:szCs w:val="24"/>
        </w:rPr>
      </w:pPr>
      <w:r w:rsidRPr="004F1C73">
        <w:rPr>
          <w:rFonts w:ascii="Times New Roman" w:hAnsi="Times New Roman" w:cs="Times New Roman"/>
          <w:b/>
          <w:bCs/>
          <w:sz w:val="24"/>
          <w:szCs w:val="24"/>
        </w:rPr>
        <w:t>CHAPTER X. WRITE-OFF OF LOANS/FINANCING</w:t>
      </w:r>
    </w:p>
    <w:p w14:paraId="47CAE69A" w14:textId="77777777" w:rsidR="004F1C73" w:rsidRPr="00843214" w:rsidRDefault="004F1C73" w:rsidP="004F1C73">
      <w:pPr>
        <w:rPr>
          <w:rFonts w:ascii="Times New Roman" w:hAnsi="Times New Roman" w:cs="Times New Roman"/>
          <w:color w:val="4F81BD" w:themeColor="accent1"/>
          <w:sz w:val="24"/>
          <w:szCs w:val="24"/>
        </w:rPr>
      </w:pPr>
      <w:r w:rsidRPr="00843214">
        <w:rPr>
          <w:rFonts w:ascii="Times New Roman" w:hAnsi="Times New Roman" w:cs="Times New Roman"/>
          <w:color w:val="4F81BD" w:themeColor="accent1"/>
          <w:sz w:val="24"/>
          <w:szCs w:val="24"/>
        </w:rPr>
        <w:t>(As amended by the Resolution of the Board of Directors of OJSC “Aiyl Bank” dated December 28, 2022, No. 63/3)</w:t>
      </w:r>
    </w:p>
    <w:p w14:paraId="4DFD8D78"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10.1. The decision to write off the principal debt of loans/financing posing significant risk from the Bank’s balance sheet to off-balance-sheet accounting is made by the Bank’s Board of Directors. For all other loans/financing, this decision is made by the Bank’s Management Board, with mandatory notification to the Board of Directors.</w:t>
      </w:r>
    </w:p>
    <w:p w14:paraId="1329012C"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10.2. The write-off of accrued interest/markups/income from Islamic financing products (IFP) from the Bank’s balance sheet to off-balance-sheet accounting is carried out after the loan/financing is assigned a non-accrual status in accordance with the Bank’s internal regulations.</w:t>
      </w:r>
    </w:p>
    <w:p w14:paraId="271EC0E3"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10.3. Penalties (fines) are accrued off-balance-sheet starting from the date specified by the Bank’s internal procedures and are recorded in off-balance-sheet accounting until repayment or final write-off.</w:t>
      </w:r>
    </w:p>
    <w:p w14:paraId="61DA9E61"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10.4. All decisions regarding the write-off of loans/financing from the Bank’s balance sheet to off-balance-sheet accounting are made based on the recommendation of the Bank’s Credit Committee/Islamic Window Financing Committee.</w:t>
      </w:r>
    </w:p>
    <w:p w14:paraId="1AFAC7E2"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10.5. After being written off from the balance sheet, loans/financing are recorded in off-balance-sheet accounting for at least five years, allowing for potential repayment and accompanied by appropriate measures to recover the loan/financing. Transfer to off-balance-sheet accounting is only permissible if there is a likelihood of future repayment.</w:t>
      </w:r>
    </w:p>
    <w:p w14:paraId="21D2D802"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10.6. If, at the time of writing off a loan/financing, there is no likelihood of future repayment, further off-balance-sheet accounting is deemed impractical. Examples of such cases include:</w:t>
      </w:r>
    </w:p>
    <w:p w14:paraId="30B59354"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Force majeure situations (natural disasters, catastrophes, military actions, terrorist acts) resulting in the loss of the borrower’s business, pledged property, or the death of the borrower/client, with relevant supporting documentation provided;</w:t>
      </w:r>
    </w:p>
    <w:p w14:paraId="40E1C5BF"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Unpaid penalties related to the loan/financing;</w:t>
      </w:r>
    </w:p>
    <w:p w14:paraId="306C0E20"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Expiration of the statute of limitations or deadlines for enforcing an execution order;</w:t>
      </w:r>
    </w:p>
    <w:p w14:paraId="3C669E05"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Liquidation of a legal entity;</w:t>
      </w:r>
    </w:p>
    <w:p w14:paraId="47C8E8BA"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Bankruptcy (insolvency) of a legal or natural person as determined by a court;</w:t>
      </w:r>
    </w:p>
    <w:p w14:paraId="01950948"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Loss of the borrower’s working capacity, where they were the sole breadwinner supporting three or more dependents, and the pledged property is the borrower’s/client’s only residence;</w:t>
      </w:r>
    </w:p>
    <w:p w14:paraId="4D91BD3D"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Declaration of the borrower/client as missing by a court decision;</w:t>
      </w:r>
    </w:p>
    <w:p w14:paraId="6B159BD5"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b/>
        <w:t>•</w:t>
      </w:r>
      <w:r w:rsidRPr="004F1C73">
        <w:rPr>
          <w:rFonts w:ascii="Times New Roman" w:hAnsi="Times New Roman" w:cs="Times New Roman"/>
          <w:sz w:val="24"/>
          <w:szCs w:val="24"/>
        </w:rPr>
        <w:tab/>
        <w:t>Other cases deemed valid by the Bank’s Credit Committee/Islamic Window Financing Committee.</w:t>
      </w:r>
    </w:p>
    <w:p w14:paraId="37083B68"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10.7. Loans/financing recorded in off-balance-sheet accounting must be analyzed monthly (regardless of the duration of off-balance-sheet status) to identify any positive developments that could offer hope for debt recovery. The Bank must promptly undertake all necessary measures to explore possible avenues for recovering the written-off loan/financing.</w:t>
      </w:r>
    </w:p>
    <w:p w14:paraId="51DBD687" w14:textId="77777777" w:rsidR="004F1C73" w:rsidRPr="004F1C73" w:rsidRDefault="004F1C73" w:rsidP="004F1C73">
      <w:pPr>
        <w:rPr>
          <w:rFonts w:ascii="Times New Roman" w:hAnsi="Times New Roman" w:cs="Times New Roman"/>
          <w:sz w:val="24"/>
          <w:szCs w:val="24"/>
        </w:rPr>
      </w:pPr>
      <w:r w:rsidRPr="00843214">
        <w:rPr>
          <w:rFonts w:ascii="Times New Roman" w:hAnsi="Times New Roman" w:cs="Times New Roman"/>
          <w:b/>
          <w:bCs/>
          <w:sz w:val="24"/>
          <w:szCs w:val="24"/>
        </w:rPr>
        <w:lastRenderedPageBreak/>
        <w:t>10.8.</w:t>
      </w:r>
      <w:r w:rsidRPr="004F1C73">
        <w:rPr>
          <w:rFonts w:ascii="Times New Roman" w:hAnsi="Times New Roman" w:cs="Times New Roman"/>
          <w:sz w:val="24"/>
          <w:szCs w:val="24"/>
        </w:rPr>
        <w:t xml:space="preserve"> If, after five years from the date of transfer to off-balance-sheet accounting, the debt to the Bank remains unpaid or further accounting is deemed unnecessary, the relevant department initiates the write-off process and submits it for review and approval by the Bank’s Management Board, with mandatory notification to the Board of Directors. Decisions to write off loans/financing posing significant risk, as well as loans/financing of affiliated or related parties of the Bank, are made by the Board of Directors.</w:t>
      </w:r>
    </w:p>
    <w:p w14:paraId="79C1D966" w14:textId="77777777" w:rsidR="004F1C73" w:rsidRDefault="004F1C73" w:rsidP="004F1C73">
      <w:pPr>
        <w:rPr>
          <w:rFonts w:ascii="Times New Roman" w:hAnsi="Times New Roman" w:cs="Times New Roman"/>
          <w:sz w:val="24"/>
          <w:szCs w:val="24"/>
        </w:rPr>
      </w:pPr>
      <w:r w:rsidRPr="00843214">
        <w:rPr>
          <w:rFonts w:ascii="Times New Roman" w:hAnsi="Times New Roman" w:cs="Times New Roman"/>
          <w:b/>
          <w:bCs/>
          <w:sz w:val="24"/>
          <w:szCs w:val="24"/>
        </w:rPr>
        <w:t>10.9.</w:t>
      </w:r>
      <w:r w:rsidRPr="004F1C73">
        <w:rPr>
          <w:rFonts w:ascii="Times New Roman" w:hAnsi="Times New Roman" w:cs="Times New Roman"/>
          <w:sz w:val="24"/>
          <w:szCs w:val="24"/>
        </w:rPr>
        <w:t xml:space="preserve"> Writing off a loan/financing from off-balance-sheet accounting signifies the termination of the Bank’s claim rights and forgiveness of the debt. Consequently, the borrower’s/client’s obligations to the Bank cease from the moment the decision is made. The Bank submits relevant information regarding the debt forgiveness to the authorized state body in accordance with the legislation of the Kyrgyz Republic.</w:t>
      </w:r>
    </w:p>
    <w:p w14:paraId="423FF6E2" w14:textId="77777777" w:rsidR="004F1C73" w:rsidRPr="004F1C73" w:rsidRDefault="004F1C73" w:rsidP="004F1C73">
      <w:pPr>
        <w:rPr>
          <w:rFonts w:ascii="Times New Roman" w:hAnsi="Times New Roman" w:cs="Times New Roman"/>
          <w:sz w:val="24"/>
          <w:szCs w:val="24"/>
        </w:rPr>
      </w:pPr>
    </w:p>
    <w:p w14:paraId="2AEF0B87" w14:textId="77777777" w:rsidR="004F1C73" w:rsidRPr="001F5948" w:rsidRDefault="004F1C73" w:rsidP="004F1C73">
      <w:pPr>
        <w:rPr>
          <w:rFonts w:ascii="Times New Roman" w:hAnsi="Times New Roman" w:cs="Times New Roman"/>
          <w:b/>
          <w:bCs/>
          <w:sz w:val="24"/>
          <w:szCs w:val="24"/>
        </w:rPr>
      </w:pPr>
      <w:r w:rsidRPr="001F5948">
        <w:rPr>
          <w:rFonts w:ascii="Times New Roman" w:hAnsi="Times New Roman" w:cs="Times New Roman"/>
          <w:b/>
          <w:bCs/>
          <w:sz w:val="24"/>
          <w:szCs w:val="24"/>
        </w:rPr>
        <w:t>CHAPTER XI. REPORTING AND RESPONSIBILITY</w:t>
      </w:r>
    </w:p>
    <w:p w14:paraId="2F9A0233" w14:textId="77777777" w:rsidR="004F1C73" w:rsidRPr="004F1C73" w:rsidRDefault="004F1C73" w:rsidP="004F1C73">
      <w:pPr>
        <w:rPr>
          <w:rFonts w:ascii="Times New Roman" w:hAnsi="Times New Roman" w:cs="Times New Roman"/>
          <w:sz w:val="24"/>
          <w:szCs w:val="24"/>
        </w:rPr>
      </w:pPr>
      <w:r w:rsidRPr="00C51CC9">
        <w:rPr>
          <w:rFonts w:ascii="Times New Roman" w:hAnsi="Times New Roman" w:cs="Times New Roman"/>
          <w:b/>
          <w:bCs/>
          <w:sz w:val="24"/>
          <w:szCs w:val="24"/>
        </w:rPr>
        <w:t>11.1</w:t>
      </w:r>
      <w:r w:rsidRPr="004F1C73">
        <w:rPr>
          <w:rFonts w:ascii="Times New Roman" w:hAnsi="Times New Roman" w:cs="Times New Roman"/>
          <w:sz w:val="24"/>
          <w:szCs w:val="24"/>
        </w:rPr>
        <w:t xml:space="preserve"> The Bank’s structural units responsible for handling problem loans/financing, as well as loans/financing recorded in off-balance-sheet accounting, consolidate reports based on the provided data for the Bank as a whole and submit them for review as follows: on a monthly basis – to the Bank’s Credit Committee/Islamic Window Financing Committee; on a quarterly basis – to the Bank’s Management Board. Additionally, on a quarterly basis, reports on the Bank’s significant problem loans/financing, with an outstanding debt exceeding thirty million soms, are submitted for review by the Board of Directors.</w:t>
      </w:r>
    </w:p>
    <w:p w14:paraId="4253354B" w14:textId="77777777" w:rsidR="004F1C73" w:rsidRPr="004F1C73" w:rsidRDefault="004F1C73" w:rsidP="004F1C73">
      <w:pPr>
        <w:rPr>
          <w:rFonts w:ascii="Times New Roman" w:hAnsi="Times New Roman" w:cs="Times New Roman"/>
          <w:sz w:val="24"/>
          <w:szCs w:val="24"/>
        </w:rPr>
      </w:pPr>
      <w:r w:rsidRPr="00843214">
        <w:rPr>
          <w:rFonts w:ascii="Times New Roman" w:hAnsi="Times New Roman" w:cs="Times New Roman"/>
          <w:b/>
          <w:bCs/>
          <w:sz w:val="24"/>
          <w:szCs w:val="24"/>
        </w:rPr>
        <w:t>11.2</w:t>
      </w:r>
      <w:r w:rsidRPr="004F1C73">
        <w:rPr>
          <w:rFonts w:ascii="Times New Roman" w:hAnsi="Times New Roman" w:cs="Times New Roman"/>
          <w:sz w:val="24"/>
          <w:szCs w:val="24"/>
        </w:rPr>
        <w:t xml:space="preserve"> The Bank’s structural units working with problem loans/financing are responsible for the timely and effective implementation of necessary measures to recover loan debts.</w:t>
      </w:r>
    </w:p>
    <w:p w14:paraId="0D306520" w14:textId="77777777" w:rsidR="004F1C73" w:rsidRPr="004F1C73" w:rsidRDefault="004F1C73" w:rsidP="004F1C73">
      <w:pPr>
        <w:rPr>
          <w:rFonts w:ascii="Times New Roman" w:hAnsi="Times New Roman" w:cs="Times New Roman"/>
          <w:sz w:val="24"/>
          <w:szCs w:val="24"/>
        </w:rPr>
      </w:pPr>
      <w:r w:rsidRPr="004F1C73">
        <w:rPr>
          <w:rFonts w:ascii="Times New Roman" w:hAnsi="Times New Roman" w:cs="Times New Roman"/>
          <w:sz w:val="24"/>
          <w:szCs w:val="24"/>
        </w:rPr>
        <w:t>(As amended by the Resolution of the Board of Directors of OJSC “Aiyl Bank” dated December 28, 2022, No. 63/3)</w:t>
      </w:r>
    </w:p>
    <w:p w14:paraId="14A43F2A" w14:textId="77777777" w:rsidR="004F1C73" w:rsidRPr="004F1C73" w:rsidRDefault="004F1C73" w:rsidP="004F1C73">
      <w:pPr>
        <w:rPr>
          <w:rFonts w:ascii="Times New Roman" w:hAnsi="Times New Roman" w:cs="Times New Roman"/>
          <w:sz w:val="24"/>
          <w:szCs w:val="24"/>
        </w:rPr>
      </w:pPr>
      <w:r w:rsidRPr="00627CCF">
        <w:rPr>
          <w:rFonts w:ascii="Times New Roman" w:hAnsi="Times New Roman" w:cs="Times New Roman"/>
          <w:b/>
          <w:bCs/>
          <w:sz w:val="24"/>
          <w:szCs w:val="24"/>
        </w:rPr>
        <w:t>11.3</w:t>
      </w:r>
      <w:r w:rsidRPr="004F1C73">
        <w:rPr>
          <w:rFonts w:ascii="Times New Roman" w:hAnsi="Times New Roman" w:cs="Times New Roman"/>
          <w:sz w:val="24"/>
          <w:szCs w:val="24"/>
        </w:rPr>
        <w:t xml:space="preserve"> General oversight of compliance with the requirements of this Policy is carried out by the heads of the relevant structural units and the branch director.</w:t>
      </w:r>
    </w:p>
    <w:p w14:paraId="7C17ED1F" w14:textId="77777777" w:rsidR="004F1C73" w:rsidRPr="00627CCF" w:rsidRDefault="004F1C73" w:rsidP="004F1C73">
      <w:pPr>
        <w:rPr>
          <w:rFonts w:ascii="Times New Roman" w:hAnsi="Times New Roman" w:cs="Times New Roman"/>
          <w:color w:val="4F81BD" w:themeColor="accent1"/>
          <w:sz w:val="24"/>
          <w:szCs w:val="24"/>
        </w:rPr>
      </w:pPr>
      <w:r w:rsidRPr="00627CCF">
        <w:rPr>
          <w:rFonts w:ascii="Times New Roman" w:hAnsi="Times New Roman" w:cs="Times New Roman"/>
          <w:color w:val="4F81BD" w:themeColor="accent1"/>
          <w:sz w:val="24"/>
          <w:szCs w:val="24"/>
        </w:rPr>
        <w:t>(As amended by the Resolution of the Board of Directors of OJSC “Aiyl Bank” dated January 11, 2024, No. 2/6)</w:t>
      </w:r>
    </w:p>
    <w:p w14:paraId="3CF0A750" w14:textId="77777777" w:rsidR="004F1C73" w:rsidRPr="001F5948" w:rsidRDefault="004F1C73" w:rsidP="004F1C73">
      <w:pPr>
        <w:rPr>
          <w:rFonts w:ascii="Times New Roman" w:hAnsi="Times New Roman" w:cs="Times New Roman"/>
          <w:sz w:val="24"/>
          <w:szCs w:val="24"/>
          <w:lang w:val="en-US"/>
        </w:rPr>
      </w:pPr>
      <w:r w:rsidRPr="00627CCF">
        <w:rPr>
          <w:rFonts w:ascii="Times New Roman" w:hAnsi="Times New Roman" w:cs="Times New Roman"/>
          <w:b/>
          <w:bCs/>
          <w:sz w:val="24"/>
          <w:szCs w:val="24"/>
        </w:rPr>
        <w:t>11.4</w:t>
      </w:r>
      <w:r w:rsidRPr="004F1C73">
        <w:rPr>
          <w:rFonts w:ascii="Times New Roman" w:hAnsi="Times New Roman" w:cs="Times New Roman"/>
          <w:sz w:val="24"/>
          <w:szCs w:val="24"/>
        </w:rPr>
        <w:t xml:space="preserve"> The degree of responsibility is determined in accordance with the legislation of the Kyrgyz Republic and the Bank’s Personnel Regulations.</w:t>
      </w:r>
    </w:p>
    <w:sectPr w:rsidR="004F1C73" w:rsidRPr="001F594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2A2B9" w14:textId="77777777" w:rsidR="00AE3EA2" w:rsidRDefault="00AE3EA2" w:rsidP="00B426CB">
      <w:r>
        <w:separator/>
      </w:r>
    </w:p>
  </w:endnote>
  <w:endnote w:type="continuationSeparator" w:id="0">
    <w:p w14:paraId="2C6E3A14" w14:textId="77777777" w:rsidR="00AE3EA2" w:rsidRDefault="00AE3EA2" w:rsidP="00B42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A6C84" w14:textId="77777777" w:rsidR="00AE3EA2" w:rsidRDefault="00AE3EA2" w:rsidP="00B426CB">
      <w:r>
        <w:separator/>
      </w:r>
    </w:p>
  </w:footnote>
  <w:footnote w:type="continuationSeparator" w:id="0">
    <w:p w14:paraId="2E0A45FE" w14:textId="77777777" w:rsidR="00AE3EA2" w:rsidRDefault="00AE3EA2" w:rsidP="00B426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434"/>
    <w:rsid w:val="00084ACB"/>
    <w:rsid w:val="001F5948"/>
    <w:rsid w:val="00231434"/>
    <w:rsid w:val="0026612A"/>
    <w:rsid w:val="00291090"/>
    <w:rsid w:val="002D1684"/>
    <w:rsid w:val="003924F9"/>
    <w:rsid w:val="00440A8D"/>
    <w:rsid w:val="00470213"/>
    <w:rsid w:val="004E02D3"/>
    <w:rsid w:val="004F1C73"/>
    <w:rsid w:val="005B03BD"/>
    <w:rsid w:val="005C06A7"/>
    <w:rsid w:val="00627CCF"/>
    <w:rsid w:val="006F423F"/>
    <w:rsid w:val="00722A40"/>
    <w:rsid w:val="00786EFE"/>
    <w:rsid w:val="007906CD"/>
    <w:rsid w:val="00807B68"/>
    <w:rsid w:val="00807D70"/>
    <w:rsid w:val="00843214"/>
    <w:rsid w:val="0089124D"/>
    <w:rsid w:val="008C782E"/>
    <w:rsid w:val="00950A7C"/>
    <w:rsid w:val="009D734A"/>
    <w:rsid w:val="00A502E5"/>
    <w:rsid w:val="00AE3EA2"/>
    <w:rsid w:val="00B05D94"/>
    <w:rsid w:val="00B426CB"/>
    <w:rsid w:val="00B56FFC"/>
    <w:rsid w:val="00C51CC9"/>
    <w:rsid w:val="00CA0965"/>
    <w:rsid w:val="00CD7617"/>
    <w:rsid w:val="00DF1A20"/>
    <w:rsid w:val="00E16905"/>
    <w:rsid w:val="00E53C25"/>
    <w:rsid w:val="00E60A62"/>
    <w:rsid w:val="00FE6F43"/>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8E2D6"/>
  <w15:chartTrackingRefBased/>
  <w15:docId w15:val="{2559FF5D-E595-6945-8014-B143CC250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AE"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1A20"/>
  </w:style>
  <w:style w:type="paragraph" w:styleId="1">
    <w:name w:val="heading 1"/>
    <w:basedOn w:val="a"/>
    <w:next w:val="a"/>
    <w:link w:val="10"/>
    <w:uiPriority w:val="9"/>
    <w:qFormat/>
    <w:rsid w:val="00DF1A20"/>
    <w:pPr>
      <w:spacing w:before="300" w:after="40"/>
      <w:jc w:val="left"/>
      <w:outlineLvl w:val="0"/>
    </w:pPr>
    <w:rPr>
      <w:smallCaps/>
      <w:spacing w:val="5"/>
      <w:sz w:val="32"/>
      <w:szCs w:val="32"/>
    </w:rPr>
  </w:style>
  <w:style w:type="paragraph" w:styleId="2">
    <w:name w:val="heading 2"/>
    <w:basedOn w:val="a"/>
    <w:next w:val="a"/>
    <w:link w:val="20"/>
    <w:uiPriority w:val="9"/>
    <w:semiHidden/>
    <w:unhideWhenUsed/>
    <w:qFormat/>
    <w:rsid w:val="00DF1A20"/>
    <w:pPr>
      <w:spacing w:before="240" w:after="80"/>
      <w:jc w:val="left"/>
      <w:outlineLvl w:val="1"/>
    </w:pPr>
    <w:rPr>
      <w:smallCaps/>
      <w:spacing w:val="5"/>
      <w:sz w:val="28"/>
      <w:szCs w:val="28"/>
    </w:rPr>
  </w:style>
  <w:style w:type="paragraph" w:styleId="3">
    <w:name w:val="heading 3"/>
    <w:basedOn w:val="a"/>
    <w:next w:val="a"/>
    <w:link w:val="30"/>
    <w:uiPriority w:val="9"/>
    <w:semiHidden/>
    <w:unhideWhenUsed/>
    <w:qFormat/>
    <w:rsid w:val="00DF1A20"/>
    <w:pPr>
      <w:jc w:val="left"/>
      <w:outlineLvl w:val="2"/>
    </w:pPr>
    <w:rPr>
      <w:smallCaps/>
      <w:spacing w:val="5"/>
      <w:sz w:val="24"/>
      <w:szCs w:val="24"/>
    </w:rPr>
  </w:style>
  <w:style w:type="paragraph" w:styleId="4">
    <w:name w:val="heading 4"/>
    <w:basedOn w:val="a"/>
    <w:next w:val="a"/>
    <w:link w:val="40"/>
    <w:uiPriority w:val="9"/>
    <w:semiHidden/>
    <w:unhideWhenUsed/>
    <w:qFormat/>
    <w:rsid w:val="00DF1A20"/>
    <w:pPr>
      <w:spacing w:before="240"/>
      <w:jc w:val="left"/>
      <w:outlineLvl w:val="3"/>
    </w:pPr>
    <w:rPr>
      <w:smallCaps/>
      <w:spacing w:val="10"/>
      <w:sz w:val="22"/>
      <w:szCs w:val="22"/>
    </w:rPr>
  </w:style>
  <w:style w:type="paragraph" w:styleId="5">
    <w:name w:val="heading 5"/>
    <w:basedOn w:val="a"/>
    <w:next w:val="a"/>
    <w:link w:val="50"/>
    <w:uiPriority w:val="9"/>
    <w:semiHidden/>
    <w:unhideWhenUsed/>
    <w:qFormat/>
    <w:rsid w:val="00DF1A20"/>
    <w:pPr>
      <w:spacing w:before="200"/>
      <w:jc w:val="left"/>
      <w:outlineLvl w:val="4"/>
    </w:pPr>
    <w:rPr>
      <w:smallCaps/>
      <w:color w:val="943634" w:themeColor="accent2" w:themeShade="BF"/>
      <w:spacing w:val="10"/>
      <w:sz w:val="22"/>
      <w:szCs w:val="26"/>
    </w:rPr>
  </w:style>
  <w:style w:type="paragraph" w:styleId="6">
    <w:name w:val="heading 6"/>
    <w:basedOn w:val="a"/>
    <w:next w:val="a"/>
    <w:link w:val="60"/>
    <w:uiPriority w:val="9"/>
    <w:semiHidden/>
    <w:unhideWhenUsed/>
    <w:qFormat/>
    <w:rsid w:val="00DF1A20"/>
    <w:pPr>
      <w:jc w:val="left"/>
      <w:outlineLvl w:val="5"/>
    </w:pPr>
    <w:rPr>
      <w:smallCaps/>
      <w:color w:val="C0504D" w:themeColor="accent2"/>
      <w:spacing w:val="5"/>
      <w:sz w:val="22"/>
    </w:rPr>
  </w:style>
  <w:style w:type="paragraph" w:styleId="7">
    <w:name w:val="heading 7"/>
    <w:basedOn w:val="a"/>
    <w:next w:val="a"/>
    <w:link w:val="70"/>
    <w:uiPriority w:val="9"/>
    <w:semiHidden/>
    <w:unhideWhenUsed/>
    <w:qFormat/>
    <w:rsid w:val="00DF1A20"/>
    <w:pPr>
      <w:jc w:val="left"/>
      <w:outlineLvl w:val="6"/>
    </w:pPr>
    <w:rPr>
      <w:b/>
      <w:smallCaps/>
      <w:color w:val="C0504D" w:themeColor="accent2"/>
      <w:spacing w:val="10"/>
    </w:rPr>
  </w:style>
  <w:style w:type="paragraph" w:styleId="8">
    <w:name w:val="heading 8"/>
    <w:basedOn w:val="a"/>
    <w:next w:val="a"/>
    <w:link w:val="80"/>
    <w:uiPriority w:val="9"/>
    <w:semiHidden/>
    <w:unhideWhenUsed/>
    <w:qFormat/>
    <w:rsid w:val="00DF1A20"/>
    <w:pPr>
      <w:jc w:val="left"/>
      <w:outlineLvl w:val="7"/>
    </w:pPr>
    <w:rPr>
      <w:b/>
      <w:i/>
      <w:smallCaps/>
      <w:color w:val="943634" w:themeColor="accent2" w:themeShade="BF"/>
    </w:rPr>
  </w:style>
  <w:style w:type="paragraph" w:styleId="9">
    <w:name w:val="heading 9"/>
    <w:basedOn w:val="a"/>
    <w:next w:val="a"/>
    <w:link w:val="90"/>
    <w:uiPriority w:val="9"/>
    <w:semiHidden/>
    <w:unhideWhenUsed/>
    <w:qFormat/>
    <w:rsid w:val="00DF1A20"/>
    <w:pPr>
      <w:jc w:val="left"/>
      <w:outlineLvl w:val="8"/>
    </w:pPr>
    <w:rPr>
      <w:b/>
      <w:i/>
      <w:smallCaps/>
      <w:color w:val="622423" w:themeColor="accent2"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F1A20"/>
    <w:rPr>
      <w:smallCaps/>
      <w:spacing w:val="5"/>
      <w:sz w:val="32"/>
      <w:szCs w:val="32"/>
    </w:rPr>
  </w:style>
  <w:style w:type="character" w:customStyle="1" w:styleId="20">
    <w:name w:val="Заголовок 2 Знак"/>
    <w:basedOn w:val="a0"/>
    <w:link w:val="2"/>
    <w:uiPriority w:val="9"/>
    <w:semiHidden/>
    <w:rsid w:val="00DF1A20"/>
    <w:rPr>
      <w:smallCaps/>
      <w:spacing w:val="5"/>
      <w:sz w:val="28"/>
      <w:szCs w:val="28"/>
    </w:rPr>
  </w:style>
  <w:style w:type="character" w:customStyle="1" w:styleId="30">
    <w:name w:val="Заголовок 3 Знак"/>
    <w:basedOn w:val="a0"/>
    <w:link w:val="3"/>
    <w:uiPriority w:val="9"/>
    <w:semiHidden/>
    <w:rsid w:val="00DF1A20"/>
    <w:rPr>
      <w:smallCaps/>
      <w:spacing w:val="5"/>
      <w:sz w:val="24"/>
      <w:szCs w:val="24"/>
    </w:rPr>
  </w:style>
  <w:style w:type="character" w:customStyle="1" w:styleId="40">
    <w:name w:val="Заголовок 4 Знак"/>
    <w:basedOn w:val="a0"/>
    <w:link w:val="4"/>
    <w:uiPriority w:val="9"/>
    <w:semiHidden/>
    <w:rsid w:val="00DF1A20"/>
    <w:rPr>
      <w:smallCaps/>
      <w:spacing w:val="10"/>
      <w:sz w:val="22"/>
      <w:szCs w:val="22"/>
    </w:rPr>
  </w:style>
  <w:style w:type="character" w:customStyle="1" w:styleId="50">
    <w:name w:val="Заголовок 5 Знак"/>
    <w:basedOn w:val="a0"/>
    <w:link w:val="5"/>
    <w:uiPriority w:val="9"/>
    <w:semiHidden/>
    <w:rsid w:val="00DF1A20"/>
    <w:rPr>
      <w:smallCaps/>
      <w:color w:val="943634" w:themeColor="accent2" w:themeShade="BF"/>
      <w:spacing w:val="10"/>
      <w:sz w:val="22"/>
      <w:szCs w:val="26"/>
    </w:rPr>
  </w:style>
  <w:style w:type="character" w:customStyle="1" w:styleId="60">
    <w:name w:val="Заголовок 6 Знак"/>
    <w:basedOn w:val="a0"/>
    <w:link w:val="6"/>
    <w:uiPriority w:val="9"/>
    <w:semiHidden/>
    <w:rsid w:val="00DF1A20"/>
    <w:rPr>
      <w:smallCaps/>
      <w:color w:val="C0504D" w:themeColor="accent2"/>
      <w:spacing w:val="5"/>
      <w:sz w:val="22"/>
    </w:rPr>
  </w:style>
  <w:style w:type="character" w:customStyle="1" w:styleId="70">
    <w:name w:val="Заголовок 7 Знак"/>
    <w:basedOn w:val="a0"/>
    <w:link w:val="7"/>
    <w:uiPriority w:val="9"/>
    <w:semiHidden/>
    <w:rsid w:val="00DF1A20"/>
    <w:rPr>
      <w:b/>
      <w:smallCaps/>
      <w:color w:val="C0504D" w:themeColor="accent2"/>
      <w:spacing w:val="10"/>
    </w:rPr>
  </w:style>
  <w:style w:type="character" w:customStyle="1" w:styleId="80">
    <w:name w:val="Заголовок 8 Знак"/>
    <w:basedOn w:val="a0"/>
    <w:link w:val="8"/>
    <w:uiPriority w:val="9"/>
    <w:semiHidden/>
    <w:rsid w:val="00DF1A20"/>
    <w:rPr>
      <w:b/>
      <w:i/>
      <w:smallCaps/>
      <w:color w:val="943634" w:themeColor="accent2" w:themeShade="BF"/>
    </w:rPr>
  </w:style>
  <w:style w:type="character" w:customStyle="1" w:styleId="90">
    <w:name w:val="Заголовок 9 Знак"/>
    <w:basedOn w:val="a0"/>
    <w:link w:val="9"/>
    <w:uiPriority w:val="9"/>
    <w:semiHidden/>
    <w:rsid w:val="00DF1A20"/>
    <w:rPr>
      <w:b/>
      <w:i/>
      <w:smallCaps/>
      <w:color w:val="622423" w:themeColor="accent2" w:themeShade="7F"/>
    </w:rPr>
  </w:style>
  <w:style w:type="paragraph" w:styleId="a3">
    <w:name w:val="caption"/>
    <w:basedOn w:val="a"/>
    <w:next w:val="a"/>
    <w:uiPriority w:val="35"/>
    <w:semiHidden/>
    <w:unhideWhenUsed/>
    <w:qFormat/>
    <w:rsid w:val="00DF1A20"/>
    <w:rPr>
      <w:b/>
      <w:bCs/>
      <w:caps/>
      <w:sz w:val="16"/>
      <w:szCs w:val="18"/>
    </w:rPr>
  </w:style>
  <w:style w:type="paragraph" w:styleId="a4">
    <w:name w:val="Title"/>
    <w:basedOn w:val="a"/>
    <w:next w:val="a"/>
    <w:link w:val="a5"/>
    <w:uiPriority w:val="10"/>
    <w:qFormat/>
    <w:rsid w:val="00DF1A20"/>
    <w:pPr>
      <w:pBdr>
        <w:top w:val="single" w:sz="12" w:space="1" w:color="C0504D" w:themeColor="accent2"/>
      </w:pBdr>
      <w:jc w:val="right"/>
    </w:pPr>
    <w:rPr>
      <w:smallCaps/>
      <w:sz w:val="48"/>
      <w:szCs w:val="48"/>
    </w:rPr>
  </w:style>
  <w:style w:type="character" w:customStyle="1" w:styleId="a5">
    <w:name w:val="Заголовок Знак"/>
    <w:basedOn w:val="a0"/>
    <w:link w:val="a4"/>
    <w:uiPriority w:val="10"/>
    <w:rsid w:val="00DF1A20"/>
    <w:rPr>
      <w:smallCaps/>
      <w:sz w:val="48"/>
      <w:szCs w:val="48"/>
    </w:rPr>
  </w:style>
  <w:style w:type="paragraph" w:styleId="a6">
    <w:name w:val="Subtitle"/>
    <w:basedOn w:val="a"/>
    <w:next w:val="a"/>
    <w:link w:val="a7"/>
    <w:uiPriority w:val="11"/>
    <w:qFormat/>
    <w:rsid w:val="00DF1A20"/>
    <w:pPr>
      <w:spacing w:after="720"/>
      <w:jc w:val="right"/>
    </w:pPr>
    <w:rPr>
      <w:rFonts w:asciiTheme="majorHAnsi" w:eastAsiaTheme="majorEastAsia" w:hAnsiTheme="majorHAnsi" w:cstheme="majorBidi"/>
      <w:szCs w:val="22"/>
    </w:rPr>
  </w:style>
  <w:style w:type="character" w:customStyle="1" w:styleId="a7">
    <w:name w:val="Подзаголовок Знак"/>
    <w:basedOn w:val="a0"/>
    <w:link w:val="a6"/>
    <w:uiPriority w:val="11"/>
    <w:rsid w:val="00DF1A20"/>
    <w:rPr>
      <w:rFonts w:asciiTheme="majorHAnsi" w:eastAsiaTheme="majorEastAsia" w:hAnsiTheme="majorHAnsi" w:cstheme="majorBidi"/>
      <w:szCs w:val="22"/>
    </w:rPr>
  </w:style>
  <w:style w:type="character" w:styleId="a8">
    <w:name w:val="Strong"/>
    <w:uiPriority w:val="22"/>
    <w:qFormat/>
    <w:rsid w:val="00DF1A20"/>
    <w:rPr>
      <w:b/>
      <w:color w:val="C0504D" w:themeColor="accent2"/>
    </w:rPr>
  </w:style>
  <w:style w:type="character" w:styleId="a9">
    <w:name w:val="Emphasis"/>
    <w:uiPriority w:val="20"/>
    <w:qFormat/>
    <w:rsid w:val="00DF1A20"/>
    <w:rPr>
      <w:b/>
      <w:i/>
      <w:spacing w:val="10"/>
    </w:rPr>
  </w:style>
  <w:style w:type="paragraph" w:styleId="aa">
    <w:name w:val="No Spacing"/>
    <w:basedOn w:val="a"/>
    <w:link w:val="ab"/>
    <w:uiPriority w:val="1"/>
    <w:qFormat/>
    <w:rsid w:val="00DF1A20"/>
  </w:style>
  <w:style w:type="character" w:customStyle="1" w:styleId="ab">
    <w:name w:val="Без интервала Знак"/>
    <w:basedOn w:val="a0"/>
    <w:link w:val="aa"/>
    <w:uiPriority w:val="1"/>
    <w:rsid w:val="00DF1A20"/>
  </w:style>
  <w:style w:type="paragraph" w:styleId="ac">
    <w:name w:val="List Paragraph"/>
    <w:basedOn w:val="a"/>
    <w:link w:val="ad"/>
    <w:uiPriority w:val="34"/>
    <w:qFormat/>
    <w:rsid w:val="00DF1A20"/>
    <w:pPr>
      <w:ind w:left="720"/>
      <w:contextualSpacing/>
    </w:pPr>
  </w:style>
  <w:style w:type="character" w:customStyle="1" w:styleId="ad">
    <w:name w:val="Абзац списка Знак"/>
    <w:link w:val="ac"/>
    <w:uiPriority w:val="34"/>
    <w:locked/>
    <w:rsid w:val="00DF1A20"/>
  </w:style>
  <w:style w:type="paragraph" w:styleId="21">
    <w:name w:val="Quote"/>
    <w:basedOn w:val="a"/>
    <w:next w:val="a"/>
    <w:link w:val="22"/>
    <w:uiPriority w:val="29"/>
    <w:qFormat/>
    <w:rsid w:val="00DF1A20"/>
    <w:rPr>
      <w:i/>
    </w:rPr>
  </w:style>
  <w:style w:type="character" w:customStyle="1" w:styleId="22">
    <w:name w:val="Цитата 2 Знак"/>
    <w:basedOn w:val="a0"/>
    <w:link w:val="21"/>
    <w:uiPriority w:val="29"/>
    <w:rsid w:val="00DF1A20"/>
    <w:rPr>
      <w:i/>
    </w:rPr>
  </w:style>
  <w:style w:type="paragraph" w:styleId="ae">
    <w:name w:val="Intense Quote"/>
    <w:basedOn w:val="a"/>
    <w:next w:val="a"/>
    <w:link w:val="af"/>
    <w:uiPriority w:val="30"/>
    <w:qFormat/>
    <w:rsid w:val="00DF1A20"/>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af">
    <w:name w:val="Выделенная цитата Знак"/>
    <w:basedOn w:val="a0"/>
    <w:link w:val="ae"/>
    <w:uiPriority w:val="30"/>
    <w:rsid w:val="00DF1A20"/>
    <w:rPr>
      <w:b/>
      <w:i/>
      <w:color w:val="FFFFFF" w:themeColor="background1"/>
      <w:shd w:val="clear" w:color="auto" w:fill="C0504D" w:themeFill="accent2"/>
    </w:rPr>
  </w:style>
  <w:style w:type="character" w:styleId="af0">
    <w:name w:val="Subtle Emphasis"/>
    <w:uiPriority w:val="19"/>
    <w:qFormat/>
    <w:rsid w:val="00DF1A20"/>
    <w:rPr>
      <w:i/>
    </w:rPr>
  </w:style>
  <w:style w:type="character" w:styleId="af1">
    <w:name w:val="Intense Emphasis"/>
    <w:uiPriority w:val="21"/>
    <w:qFormat/>
    <w:rsid w:val="00DF1A20"/>
    <w:rPr>
      <w:b/>
      <w:i/>
      <w:color w:val="C0504D" w:themeColor="accent2"/>
      <w:spacing w:val="10"/>
    </w:rPr>
  </w:style>
  <w:style w:type="character" w:styleId="af2">
    <w:name w:val="Subtle Reference"/>
    <w:uiPriority w:val="31"/>
    <w:qFormat/>
    <w:rsid w:val="00DF1A20"/>
    <w:rPr>
      <w:b/>
    </w:rPr>
  </w:style>
  <w:style w:type="character" w:styleId="af3">
    <w:name w:val="Intense Reference"/>
    <w:uiPriority w:val="32"/>
    <w:qFormat/>
    <w:rsid w:val="00DF1A20"/>
    <w:rPr>
      <w:b/>
      <w:bCs/>
      <w:smallCaps/>
      <w:spacing w:val="5"/>
      <w:sz w:val="22"/>
      <w:szCs w:val="22"/>
      <w:u w:val="single"/>
    </w:rPr>
  </w:style>
  <w:style w:type="character" w:styleId="af4">
    <w:name w:val="Book Title"/>
    <w:uiPriority w:val="33"/>
    <w:qFormat/>
    <w:rsid w:val="00DF1A20"/>
    <w:rPr>
      <w:rFonts w:asciiTheme="majorHAnsi" w:eastAsiaTheme="majorEastAsia" w:hAnsiTheme="majorHAnsi" w:cstheme="majorBidi"/>
      <w:i/>
      <w:iCs/>
      <w:sz w:val="20"/>
      <w:szCs w:val="20"/>
    </w:rPr>
  </w:style>
  <w:style w:type="paragraph" w:styleId="af5">
    <w:name w:val="TOC Heading"/>
    <w:basedOn w:val="1"/>
    <w:next w:val="a"/>
    <w:uiPriority w:val="39"/>
    <w:semiHidden/>
    <w:unhideWhenUsed/>
    <w:qFormat/>
    <w:rsid w:val="00DF1A20"/>
    <w:pPr>
      <w:outlineLvl w:val="9"/>
    </w:pPr>
  </w:style>
  <w:style w:type="paragraph" w:styleId="af6">
    <w:name w:val="header"/>
    <w:basedOn w:val="a"/>
    <w:link w:val="af7"/>
    <w:uiPriority w:val="99"/>
    <w:unhideWhenUsed/>
    <w:rsid w:val="00B426CB"/>
    <w:pPr>
      <w:tabs>
        <w:tab w:val="center" w:pos="4677"/>
        <w:tab w:val="right" w:pos="9355"/>
      </w:tabs>
    </w:pPr>
  </w:style>
  <w:style w:type="character" w:customStyle="1" w:styleId="af7">
    <w:name w:val="Верхний колонтитул Знак"/>
    <w:basedOn w:val="a0"/>
    <w:link w:val="af6"/>
    <w:uiPriority w:val="99"/>
    <w:rsid w:val="00B426CB"/>
  </w:style>
  <w:style w:type="paragraph" w:styleId="af8">
    <w:name w:val="footer"/>
    <w:basedOn w:val="a"/>
    <w:link w:val="af9"/>
    <w:uiPriority w:val="99"/>
    <w:unhideWhenUsed/>
    <w:rsid w:val="00B426CB"/>
    <w:pPr>
      <w:tabs>
        <w:tab w:val="center" w:pos="4677"/>
        <w:tab w:val="right" w:pos="9355"/>
      </w:tabs>
    </w:pPr>
  </w:style>
  <w:style w:type="character" w:customStyle="1" w:styleId="af9">
    <w:name w:val="Нижний колонтитул Знак"/>
    <w:basedOn w:val="a0"/>
    <w:link w:val="af8"/>
    <w:uiPriority w:val="99"/>
    <w:rsid w:val="00B426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2007 - 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586FF7-417C-4B0D-9975-8E91F87DD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10</Pages>
  <Words>4323</Words>
  <Characters>24647</Characters>
  <Application>Microsoft Office Word</Application>
  <DocSecurity>0</DocSecurity>
  <Lines>205</Lines>
  <Paragraphs>57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Молдалиева Кайыргул Саматовна</cp:lastModifiedBy>
  <cp:revision>101</cp:revision>
  <dcterms:created xsi:type="dcterms:W3CDTF">2025-03-24T04:32:00Z</dcterms:created>
  <dcterms:modified xsi:type="dcterms:W3CDTF">2025-03-25T11:15:00Z</dcterms:modified>
</cp:coreProperties>
</file>